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80" w:type="dxa"/>
        <w:tblInd w:w="-743" w:type="dxa"/>
        <w:tblLook w:val="04A0" w:firstRow="1" w:lastRow="0" w:firstColumn="1" w:lastColumn="0" w:noHBand="0" w:noVBand="1"/>
      </w:tblPr>
      <w:tblGrid>
        <w:gridCol w:w="2156"/>
        <w:gridCol w:w="3957"/>
        <w:gridCol w:w="1505"/>
        <w:gridCol w:w="2962"/>
      </w:tblGrid>
      <w:tr w:rsidR="00772A01" w:rsidRPr="00C455A7" w14:paraId="5665B9BE" w14:textId="77777777" w:rsidTr="003B5CBD">
        <w:trPr>
          <w:trHeight w:val="478"/>
        </w:trPr>
        <w:tc>
          <w:tcPr>
            <w:tcW w:w="2156" w:type="dxa"/>
            <w:shd w:val="clear" w:color="auto" w:fill="D9D9D9" w:themeFill="background1" w:themeFillShade="D9"/>
          </w:tcPr>
          <w:p w14:paraId="2B85A224" w14:textId="77777777" w:rsidR="00772A01" w:rsidRPr="00C455A7" w:rsidRDefault="00772A01">
            <w:pPr>
              <w:rPr>
                <w:b/>
              </w:rPr>
            </w:pPr>
            <w:r w:rsidRPr="00C455A7">
              <w:rPr>
                <w:b/>
              </w:rPr>
              <w:t>Director/Manager</w:t>
            </w:r>
          </w:p>
        </w:tc>
        <w:tc>
          <w:tcPr>
            <w:tcW w:w="8424" w:type="dxa"/>
            <w:gridSpan w:val="3"/>
          </w:tcPr>
          <w:p w14:paraId="7F47D5CA" w14:textId="1E3D5A35" w:rsidR="00772A01" w:rsidRDefault="00D311AD" w:rsidP="00772A01">
            <w:r>
              <w:t>Kane Salter</w:t>
            </w:r>
            <w:r w:rsidR="00A95785">
              <w:t>, Deputy Secretary Business Operations and Support</w:t>
            </w:r>
            <w:r w:rsidR="002E5995">
              <w:t xml:space="preserve"> (Overall change)</w:t>
            </w:r>
          </w:p>
          <w:p w14:paraId="4CB7E3CF" w14:textId="1AD34FA2" w:rsidR="00A95785" w:rsidRDefault="000A0831" w:rsidP="00772A01">
            <w:r>
              <w:t>Todd</w:t>
            </w:r>
            <w:r w:rsidR="0004044A">
              <w:t xml:space="preserve"> Williams, Director Facility Services</w:t>
            </w:r>
            <w:r w:rsidR="002E5995">
              <w:t xml:space="preserve"> (Facility changes)</w:t>
            </w:r>
          </w:p>
          <w:p w14:paraId="35BE2245" w14:textId="77777777" w:rsidR="002E5995" w:rsidRDefault="002E5995" w:rsidP="00772A01">
            <w:r>
              <w:t>Wendy Spencer</w:t>
            </w:r>
            <w:r w:rsidR="00E360EA">
              <w:t>, Director Culture and Growth</w:t>
            </w:r>
            <w:r>
              <w:t xml:space="preserve"> (</w:t>
            </w:r>
            <w:r w:rsidR="008E6057">
              <w:t>M</w:t>
            </w:r>
            <w:r w:rsidR="00CA65FD">
              <w:t>anaging change - guidance</w:t>
            </w:r>
            <w:r w:rsidR="00E360EA">
              <w:t>)</w:t>
            </w:r>
          </w:p>
          <w:p w14:paraId="40AA0A9B" w14:textId="0BFC2A08" w:rsidR="008E6057" w:rsidRPr="00C455A7" w:rsidRDefault="007B3409" w:rsidP="00772A01">
            <w:r w:rsidRPr="003D1EF8">
              <w:t xml:space="preserve">Brett Patterson </w:t>
            </w:r>
            <w:r w:rsidR="008E6057" w:rsidRPr="003D1EF8">
              <w:t>– Change Manager</w:t>
            </w:r>
          </w:p>
        </w:tc>
      </w:tr>
      <w:tr w:rsidR="003B25E2" w:rsidRPr="00C455A7" w14:paraId="124A09B2" w14:textId="77777777" w:rsidTr="003D1EF8">
        <w:trPr>
          <w:trHeight w:val="918"/>
        </w:trPr>
        <w:tc>
          <w:tcPr>
            <w:tcW w:w="2156" w:type="dxa"/>
            <w:shd w:val="clear" w:color="auto" w:fill="D9D9D9" w:themeFill="background1" w:themeFillShade="D9"/>
          </w:tcPr>
          <w:p w14:paraId="17939B46" w14:textId="3D3846C0" w:rsidR="003B25E2" w:rsidRPr="00C455A7" w:rsidRDefault="00593AB9">
            <w:pPr>
              <w:rPr>
                <w:b/>
              </w:rPr>
            </w:pPr>
            <w:r>
              <w:rPr>
                <w:b/>
              </w:rPr>
              <w:t>Branch/Division</w:t>
            </w:r>
          </w:p>
        </w:tc>
        <w:tc>
          <w:tcPr>
            <w:tcW w:w="3957" w:type="dxa"/>
          </w:tcPr>
          <w:p w14:paraId="169F3E4B" w14:textId="77777777" w:rsidR="007A1B4B" w:rsidRDefault="007A1B4B" w:rsidP="007A1B4B">
            <w:pPr>
              <w:pStyle w:val="ListParagraph"/>
              <w:numPr>
                <w:ilvl w:val="0"/>
                <w:numId w:val="13"/>
              </w:numPr>
            </w:pPr>
            <w:r>
              <w:t>Business Operations and Support (BOS) Office of the Deputy Secretary</w:t>
            </w:r>
          </w:p>
          <w:p w14:paraId="76258016" w14:textId="77777777" w:rsidR="007A1B4B" w:rsidRDefault="007A1B4B" w:rsidP="007A1B4B">
            <w:pPr>
              <w:pStyle w:val="ListParagraph"/>
              <w:numPr>
                <w:ilvl w:val="0"/>
                <w:numId w:val="13"/>
              </w:numPr>
            </w:pPr>
            <w:r>
              <w:t>BOS Legal Services</w:t>
            </w:r>
          </w:p>
          <w:p w14:paraId="17AFB8B7" w14:textId="77777777" w:rsidR="007A1B4B" w:rsidRDefault="007A1B4B" w:rsidP="007A1B4B">
            <w:pPr>
              <w:pStyle w:val="ListParagraph"/>
              <w:numPr>
                <w:ilvl w:val="0"/>
                <w:numId w:val="13"/>
              </w:numPr>
            </w:pPr>
            <w:r>
              <w:t>BOS Organisational Safety</w:t>
            </w:r>
          </w:p>
          <w:p w14:paraId="0C6A1E6F" w14:textId="77777777" w:rsidR="007A1B4B" w:rsidRDefault="007A1B4B" w:rsidP="007A1B4B">
            <w:pPr>
              <w:pStyle w:val="ListParagraph"/>
              <w:numPr>
                <w:ilvl w:val="0"/>
                <w:numId w:val="13"/>
              </w:numPr>
            </w:pPr>
            <w:r>
              <w:t>BOS Transition and Improvement</w:t>
            </w:r>
          </w:p>
          <w:p w14:paraId="5E1E3DBF" w14:textId="77777777" w:rsidR="007A1B4B" w:rsidRDefault="007A1B4B" w:rsidP="007A1B4B">
            <w:pPr>
              <w:pStyle w:val="ListParagraph"/>
              <w:numPr>
                <w:ilvl w:val="0"/>
                <w:numId w:val="13"/>
              </w:numPr>
            </w:pPr>
            <w:r>
              <w:t>Child and Student Wellbeing (Development and Support)</w:t>
            </w:r>
          </w:p>
          <w:p w14:paraId="4933B5C8" w14:textId="77777777" w:rsidR="007A1B4B" w:rsidRDefault="007A1B4B" w:rsidP="007A1B4B">
            <w:pPr>
              <w:pStyle w:val="ListParagraph"/>
              <w:numPr>
                <w:ilvl w:val="0"/>
                <w:numId w:val="13"/>
              </w:numPr>
            </w:pPr>
            <w:r w:rsidRPr="00234840">
              <w:t>Inclusion and Cultural Diversity</w:t>
            </w:r>
            <w:r>
              <w:t xml:space="preserve"> (Development and Support)</w:t>
            </w:r>
          </w:p>
          <w:p w14:paraId="5FD19AFD" w14:textId="77777777" w:rsidR="007A1B4B" w:rsidRDefault="007A1B4B" w:rsidP="007A1B4B">
            <w:pPr>
              <w:pStyle w:val="ListParagraph"/>
              <w:numPr>
                <w:ilvl w:val="0"/>
                <w:numId w:val="13"/>
              </w:numPr>
            </w:pPr>
            <w:r>
              <w:t>Keeping Children Safe/Office of Safeguarding Children</w:t>
            </w:r>
          </w:p>
          <w:p w14:paraId="14B87977" w14:textId="3A9D9FA5" w:rsidR="000409DF" w:rsidRPr="00C455A7" w:rsidRDefault="007A1B4B" w:rsidP="00BD7F5E">
            <w:pPr>
              <w:pStyle w:val="ListParagraph"/>
              <w:numPr>
                <w:ilvl w:val="0"/>
                <w:numId w:val="13"/>
              </w:numPr>
            </w:pPr>
            <w:r>
              <w:t>Strategic Policy and Projects (Continuous Improvement and Evaluation)</w:t>
            </w:r>
          </w:p>
        </w:tc>
        <w:tc>
          <w:tcPr>
            <w:tcW w:w="1505" w:type="dxa"/>
            <w:shd w:val="clear" w:color="auto" w:fill="D9D9D9" w:themeFill="background1" w:themeFillShade="D9"/>
          </w:tcPr>
          <w:p w14:paraId="04188414" w14:textId="5CFAA6E7" w:rsidR="003B25E2" w:rsidRPr="00C455A7" w:rsidRDefault="003B25E2" w:rsidP="00772A01">
            <w:pPr>
              <w:rPr>
                <w:b/>
              </w:rPr>
            </w:pPr>
            <w:r w:rsidRPr="00C455A7">
              <w:rPr>
                <w:b/>
              </w:rPr>
              <w:t>Group</w:t>
            </w:r>
            <w:r w:rsidR="00AC46FB">
              <w:rPr>
                <w:b/>
              </w:rPr>
              <w:t xml:space="preserve"> (Portfolio)</w:t>
            </w:r>
          </w:p>
        </w:tc>
        <w:tc>
          <w:tcPr>
            <w:tcW w:w="2962" w:type="dxa"/>
          </w:tcPr>
          <w:p w14:paraId="5CC317DE" w14:textId="77777777" w:rsidR="00AC46FB" w:rsidRDefault="00AC46FB" w:rsidP="00AC46FB">
            <w:r>
              <w:t xml:space="preserve">Portfolio Services for Business Operations and Support </w:t>
            </w:r>
          </w:p>
          <w:p w14:paraId="094DADD3" w14:textId="77777777" w:rsidR="005C7E92" w:rsidRDefault="005C7E92" w:rsidP="00AC46FB"/>
          <w:p w14:paraId="74F01391" w14:textId="3FE87980" w:rsidR="005C7E92" w:rsidRDefault="005C7E92" w:rsidP="005C7E92">
            <w:r>
              <w:t>Services for Children and Families</w:t>
            </w:r>
          </w:p>
          <w:p w14:paraId="392BA0E8" w14:textId="77777777" w:rsidR="005C7E92" w:rsidRDefault="005C7E92" w:rsidP="005C7E92"/>
          <w:p w14:paraId="59C8A83D" w14:textId="1E6C38EB" w:rsidR="005C7E92" w:rsidRDefault="005C7E92" w:rsidP="005C7E92">
            <w:r>
              <w:t>Portfolio Services for Development and Support</w:t>
            </w:r>
          </w:p>
          <w:p w14:paraId="01EB22B3" w14:textId="77777777" w:rsidR="005C7E92" w:rsidRDefault="005C7E92" w:rsidP="005C7E92"/>
          <w:p w14:paraId="3B8FAF6F" w14:textId="0E5CE9E1" w:rsidR="005C7E92" w:rsidRPr="00C455A7" w:rsidRDefault="005C7E92" w:rsidP="005C7E92">
            <w:r>
              <w:t>Portfolio Services for Continuous Improvement and Evaluation</w:t>
            </w:r>
          </w:p>
        </w:tc>
      </w:tr>
      <w:tr w:rsidR="003B25E2" w:rsidRPr="00C455A7" w14:paraId="0271C2B9" w14:textId="77777777" w:rsidTr="003B5CBD">
        <w:trPr>
          <w:trHeight w:val="407"/>
        </w:trPr>
        <w:tc>
          <w:tcPr>
            <w:tcW w:w="2156" w:type="dxa"/>
            <w:shd w:val="clear" w:color="auto" w:fill="D9D9D9" w:themeFill="background1" w:themeFillShade="D9"/>
          </w:tcPr>
          <w:p w14:paraId="3D62B95F" w14:textId="77777777" w:rsidR="003B25E2" w:rsidRPr="00C455A7" w:rsidRDefault="003B25E2">
            <w:pPr>
              <w:rPr>
                <w:b/>
              </w:rPr>
            </w:pPr>
            <w:r w:rsidRPr="00C455A7">
              <w:rPr>
                <w:b/>
              </w:rPr>
              <w:t>Location</w:t>
            </w:r>
          </w:p>
        </w:tc>
        <w:tc>
          <w:tcPr>
            <w:tcW w:w="3957" w:type="dxa"/>
          </w:tcPr>
          <w:p w14:paraId="07DE9234" w14:textId="017416CC" w:rsidR="003B25E2" w:rsidRDefault="0049521B" w:rsidP="004E595B">
            <w:pPr>
              <w:pStyle w:val="ListParagraph"/>
              <w:numPr>
                <w:ilvl w:val="0"/>
                <w:numId w:val="13"/>
              </w:numPr>
            </w:pPr>
            <w:proofErr w:type="spellStart"/>
            <w:r>
              <w:t>Kirksway</w:t>
            </w:r>
            <w:proofErr w:type="spellEnd"/>
            <w:r>
              <w:t xml:space="preserve"> Place</w:t>
            </w:r>
            <w:r w:rsidR="00FA091F">
              <w:t>, Hobart</w:t>
            </w:r>
          </w:p>
          <w:p w14:paraId="2F1C6E1B" w14:textId="77777777" w:rsidR="00EE726E" w:rsidRDefault="00EE726E" w:rsidP="00EE726E">
            <w:pPr>
              <w:pStyle w:val="ListParagraph"/>
              <w:numPr>
                <w:ilvl w:val="0"/>
                <w:numId w:val="13"/>
              </w:numPr>
            </w:pPr>
            <w:r>
              <w:t>Parliament Square, 4 Salamanca Place, Hobart</w:t>
            </w:r>
          </w:p>
          <w:p w14:paraId="0F76A31A" w14:textId="77777777" w:rsidR="004E595B" w:rsidRDefault="004E595B" w:rsidP="00255DD8">
            <w:pPr>
              <w:pStyle w:val="ListParagraph"/>
              <w:numPr>
                <w:ilvl w:val="0"/>
                <w:numId w:val="13"/>
              </w:numPr>
            </w:pPr>
            <w:r>
              <w:t>Letitia House</w:t>
            </w:r>
            <w:r w:rsidR="00FA091F">
              <w:t>, Mt Nelson</w:t>
            </w:r>
          </w:p>
          <w:p w14:paraId="0F6E44D6" w14:textId="7C25B165" w:rsidR="00EE726E" w:rsidRPr="00C455A7" w:rsidRDefault="00BD7F5E" w:rsidP="00255DD8">
            <w:pPr>
              <w:pStyle w:val="ListParagraph"/>
              <w:numPr>
                <w:ilvl w:val="0"/>
                <w:numId w:val="13"/>
              </w:numPr>
            </w:pPr>
            <w:r>
              <w:t>26 Bathurst St, Hobart</w:t>
            </w:r>
          </w:p>
        </w:tc>
        <w:tc>
          <w:tcPr>
            <w:tcW w:w="1505" w:type="dxa"/>
            <w:shd w:val="clear" w:color="auto" w:fill="D9D9D9" w:themeFill="background1" w:themeFillShade="D9"/>
          </w:tcPr>
          <w:p w14:paraId="1453789F" w14:textId="77777777" w:rsidR="003B25E2" w:rsidRPr="00C455A7" w:rsidRDefault="003B25E2" w:rsidP="00772A01">
            <w:pPr>
              <w:rPr>
                <w:b/>
              </w:rPr>
            </w:pPr>
            <w:r w:rsidRPr="00C455A7">
              <w:rPr>
                <w:b/>
              </w:rPr>
              <w:t>Date</w:t>
            </w:r>
          </w:p>
        </w:tc>
        <w:tc>
          <w:tcPr>
            <w:tcW w:w="2962" w:type="dxa"/>
          </w:tcPr>
          <w:p w14:paraId="61472C0C" w14:textId="076EF2EF" w:rsidR="003B25E2" w:rsidRPr="00C455A7" w:rsidRDefault="005331B4" w:rsidP="00772A01">
            <w:r>
              <w:t xml:space="preserve">31 </w:t>
            </w:r>
            <w:r w:rsidR="00D46B30">
              <w:t>May 2023</w:t>
            </w:r>
          </w:p>
        </w:tc>
      </w:tr>
    </w:tbl>
    <w:p w14:paraId="6147D812" w14:textId="77777777" w:rsidR="00772A01" w:rsidRPr="00C455A7" w:rsidRDefault="00772A01">
      <w:pPr>
        <w:rPr>
          <w:sz w:val="10"/>
        </w:rPr>
      </w:pPr>
    </w:p>
    <w:tbl>
      <w:tblPr>
        <w:tblStyle w:val="TableGrid"/>
        <w:tblW w:w="10540" w:type="dxa"/>
        <w:tblInd w:w="-743" w:type="dxa"/>
        <w:tblLook w:val="04A0" w:firstRow="1" w:lastRow="0" w:firstColumn="1" w:lastColumn="0" w:noHBand="0" w:noVBand="1"/>
      </w:tblPr>
      <w:tblGrid>
        <w:gridCol w:w="1378"/>
        <w:gridCol w:w="2054"/>
        <w:gridCol w:w="2409"/>
        <w:gridCol w:w="1108"/>
        <w:gridCol w:w="3591"/>
      </w:tblGrid>
      <w:tr w:rsidR="003B25E2" w:rsidRPr="00C455A7" w14:paraId="3F5BD5C7" w14:textId="77777777" w:rsidTr="008248F4">
        <w:trPr>
          <w:trHeight w:val="61"/>
        </w:trPr>
        <w:tc>
          <w:tcPr>
            <w:tcW w:w="3432" w:type="dxa"/>
            <w:gridSpan w:val="2"/>
            <w:shd w:val="clear" w:color="auto" w:fill="B8CCE4" w:themeFill="accent1" w:themeFillTint="66"/>
          </w:tcPr>
          <w:p w14:paraId="1C391278" w14:textId="77777777" w:rsidR="003B25E2" w:rsidRPr="00C455A7" w:rsidRDefault="003B25E2" w:rsidP="003B25E2">
            <w:pPr>
              <w:jc w:val="center"/>
              <w:rPr>
                <w:b/>
                <w:sz w:val="24"/>
              </w:rPr>
            </w:pPr>
            <w:r w:rsidRPr="00C455A7">
              <w:rPr>
                <w:b/>
                <w:sz w:val="24"/>
              </w:rPr>
              <w:t>Subject</w:t>
            </w:r>
          </w:p>
        </w:tc>
        <w:tc>
          <w:tcPr>
            <w:tcW w:w="7108" w:type="dxa"/>
            <w:gridSpan w:val="3"/>
            <w:shd w:val="clear" w:color="auto" w:fill="B8CCE4" w:themeFill="accent1" w:themeFillTint="66"/>
          </w:tcPr>
          <w:p w14:paraId="54864D99" w14:textId="77777777" w:rsidR="003B25E2" w:rsidRPr="00C455A7" w:rsidRDefault="003B25E2" w:rsidP="003B25E2">
            <w:pPr>
              <w:jc w:val="center"/>
              <w:rPr>
                <w:b/>
                <w:sz w:val="24"/>
              </w:rPr>
            </w:pPr>
            <w:r w:rsidRPr="00C455A7">
              <w:rPr>
                <w:b/>
                <w:sz w:val="24"/>
              </w:rPr>
              <w:t>Information</w:t>
            </w:r>
          </w:p>
        </w:tc>
      </w:tr>
      <w:tr w:rsidR="003B25E2" w:rsidRPr="00C455A7" w14:paraId="4A11BCCD" w14:textId="77777777" w:rsidTr="008248F4">
        <w:trPr>
          <w:trHeight w:val="677"/>
        </w:trPr>
        <w:tc>
          <w:tcPr>
            <w:tcW w:w="3432" w:type="dxa"/>
            <w:gridSpan w:val="2"/>
            <w:shd w:val="clear" w:color="auto" w:fill="D9D9D9" w:themeFill="background1" w:themeFillShade="D9"/>
          </w:tcPr>
          <w:p w14:paraId="4124FC0C" w14:textId="77777777" w:rsidR="003B25E2" w:rsidRPr="00C455A7" w:rsidRDefault="003B25E2" w:rsidP="003B25E2">
            <w:pPr>
              <w:rPr>
                <w:b/>
              </w:rPr>
            </w:pPr>
            <w:r w:rsidRPr="00C455A7">
              <w:rPr>
                <w:b/>
              </w:rPr>
              <w:t>Background:</w:t>
            </w:r>
          </w:p>
          <w:p w14:paraId="42E64083" w14:textId="1A421221" w:rsidR="003B25E2" w:rsidRPr="00C455A7" w:rsidRDefault="003B25E2" w:rsidP="003B25E2">
            <w:r w:rsidRPr="00C455A7">
              <w:t xml:space="preserve">Outline the </w:t>
            </w:r>
            <w:r w:rsidR="00BC3CC4">
              <w:t>change</w:t>
            </w:r>
            <w:r w:rsidRPr="00C455A7">
              <w:t xml:space="preserve">, background and context for the </w:t>
            </w:r>
            <w:r w:rsidR="00624ECD">
              <w:t>Department</w:t>
            </w:r>
            <w:r w:rsidRPr="00C455A7">
              <w:t>.</w:t>
            </w:r>
          </w:p>
          <w:p w14:paraId="1645A780" w14:textId="77777777" w:rsidR="003B25E2" w:rsidRPr="00C455A7" w:rsidRDefault="003B25E2" w:rsidP="003B25E2">
            <w:pPr>
              <w:pStyle w:val="ListParagraph"/>
              <w:numPr>
                <w:ilvl w:val="0"/>
                <w:numId w:val="1"/>
              </w:numPr>
              <w:ind w:left="459"/>
            </w:pPr>
            <w:r w:rsidRPr="00C455A7">
              <w:t>Why is the change occurring?</w:t>
            </w:r>
          </w:p>
          <w:p w14:paraId="09379F0A" w14:textId="77777777" w:rsidR="003B25E2" w:rsidRPr="00C455A7" w:rsidRDefault="003B25E2" w:rsidP="003B25E2">
            <w:pPr>
              <w:pStyle w:val="ListParagraph"/>
              <w:numPr>
                <w:ilvl w:val="0"/>
                <w:numId w:val="1"/>
              </w:numPr>
              <w:ind w:left="459"/>
            </w:pPr>
            <w:r w:rsidRPr="00C455A7">
              <w:t>Timelines and milestones to be met.</w:t>
            </w:r>
          </w:p>
          <w:p w14:paraId="35DCE553" w14:textId="77777777" w:rsidR="000C0411" w:rsidRPr="00C455A7" w:rsidRDefault="000C0411" w:rsidP="003B25E2"/>
          <w:p w14:paraId="76567ECF" w14:textId="61ED88F8" w:rsidR="003B25E2" w:rsidRPr="00C455A7" w:rsidRDefault="003B25E2" w:rsidP="003B25E2"/>
        </w:tc>
        <w:tc>
          <w:tcPr>
            <w:tcW w:w="7108" w:type="dxa"/>
            <w:gridSpan w:val="3"/>
          </w:tcPr>
          <w:p w14:paraId="7BB4782E" w14:textId="050E573E" w:rsidR="00CD047D" w:rsidRDefault="00C40443" w:rsidP="00CD047D">
            <w:r w:rsidRPr="00C40443">
              <w:t>A priority</w:t>
            </w:r>
            <w:r>
              <w:t xml:space="preserve"> for DECYP </w:t>
            </w:r>
            <w:r w:rsidRPr="00C40443">
              <w:t xml:space="preserve">is to continue to bring </w:t>
            </w:r>
            <w:r>
              <w:t>staff</w:t>
            </w:r>
            <w:r w:rsidRPr="00C40443">
              <w:t xml:space="preserve"> together </w:t>
            </w:r>
            <w:r>
              <w:t>to</w:t>
            </w:r>
            <w:r w:rsidRPr="00C40443">
              <w:t xml:space="preserve"> best deliver on </w:t>
            </w:r>
            <w:r w:rsidR="00A0228A">
              <w:t>its</w:t>
            </w:r>
            <w:r w:rsidRPr="00C40443">
              <w:t xml:space="preserve"> objectives for children and young people to be known, safe, well, and learning. This means, where it is practical to do so, aligning teams that are </w:t>
            </w:r>
            <w:r w:rsidR="003D4B8F">
              <w:t>situated</w:t>
            </w:r>
            <w:r w:rsidR="003D4B8F" w:rsidRPr="00C40443">
              <w:t xml:space="preserve"> </w:t>
            </w:r>
            <w:r w:rsidR="00082FA5">
              <w:t>in</w:t>
            </w:r>
            <w:r w:rsidR="00082FA5" w:rsidRPr="00C40443">
              <w:t xml:space="preserve"> </w:t>
            </w:r>
            <w:r w:rsidRPr="00C40443">
              <w:t>multiple sites into one connected group and</w:t>
            </w:r>
            <w:r w:rsidR="00B97C4B">
              <w:t>,</w:t>
            </w:r>
            <w:r w:rsidRPr="00C40443">
              <w:t xml:space="preserve"> where possible, aligning teams that regularly interact or will benefit from co-location.</w:t>
            </w:r>
          </w:p>
          <w:p w14:paraId="4A35B2A2" w14:textId="77777777" w:rsidR="00690B65" w:rsidRDefault="00690B65" w:rsidP="00CD047D"/>
          <w:p w14:paraId="639A96F8" w14:textId="23B6A3A9" w:rsidR="002F1A9E" w:rsidRDefault="003A1606" w:rsidP="00CD047D">
            <w:r>
              <w:t xml:space="preserve">The Department, through Facility Services, </w:t>
            </w:r>
            <w:r w:rsidR="00A30CA9">
              <w:t>ensures that:</w:t>
            </w:r>
          </w:p>
          <w:p w14:paraId="13EBED6B" w14:textId="30071570" w:rsidR="00A30CA9" w:rsidRDefault="00A30CA9" w:rsidP="00A30CA9">
            <w:pPr>
              <w:pStyle w:val="ListParagraph"/>
              <w:numPr>
                <w:ilvl w:val="0"/>
                <w:numId w:val="20"/>
              </w:numPr>
            </w:pPr>
            <w:r>
              <w:t xml:space="preserve">Sites are appropriately utilised and flexible; </w:t>
            </w:r>
          </w:p>
          <w:p w14:paraId="5CFFDF89" w14:textId="4521780B" w:rsidR="00A30CA9" w:rsidRDefault="00A30CA9" w:rsidP="00A30CA9">
            <w:pPr>
              <w:pStyle w:val="ListParagraph"/>
              <w:numPr>
                <w:ilvl w:val="0"/>
                <w:numId w:val="20"/>
              </w:numPr>
            </w:pPr>
            <w:r>
              <w:t>Accommodation is fit-for-purpose and service delivery driven; and</w:t>
            </w:r>
          </w:p>
          <w:p w14:paraId="1DFADF04" w14:textId="161729F2" w:rsidR="00A30CA9" w:rsidRDefault="00A30CA9" w:rsidP="00A30CA9">
            <w:pPr>
              <w:pStyle w:val="ListParagraph"/>
              <w:numPr>
                <w:ilvl w:val="0"/>
                <w:numId w:val="20"/>
              </w:numPr>
            </w:pPr>
            <w:r>
              <w:t>Accommodation is flexible to align future workforce and service delivery changes</w:t>
            </w:r>
            <w:r w:rsidR="00AC46FB">
              <w:t>.</w:t>
            </w:r>
          </w:p>
          <w:p w14:paraId="4B9B9234" w14:textId="77777777" w:rsidR="00884B72" w:rsidRDefault="00884B72" w:rsidP="00CD047D"/>
          <w:p w14:paraId="7F83A0D6" w14:textId="77543080" w:rsidR="00FF6894" w:rsidRDefault="00FF6894" w:rsidP="00CD047D">
            <w:r w:rsidRPr="00FF6894">
              <w:t xml:space="preserve">The development of </w:t>
            </w:r>
            <w:r w:rsidR="00663910">
              <w:t>r</w:t>
            </w:r>
            <w:r w:rsidRPr="00FF6894">
              <w:t xml:space="preserve">egional </w:t>
            </w:r>
            <w:r w:rsidR="00663910">
              <w:t>o</w:t>
            </w:r>
            <w:r w:rsidRPr="00FF6894">
              <w:t xml:space="preserve">ffice </w:t>
            </w:r>
            <w:r w:rsidR="00663910">
              <w:t>a</w:t>
            </w:r>
            <w:r w:rsidRPr="00FF6894">
              <w:t xml:space="preserve">ccommodation </w:t>
            </w:r>
            <w:r w:rsidR="00663910">
              <w:t>s</w:t>
            </w:r>
            <w:r w:rsidRPr="00FF6894">
              <w:t xml:space="preserve">trategies will continue to inform work so that </w:t>
            </w:r>
            <w:r w:rsidR="008D5255">
              <w:t>DECYP</w:t>
            </w:r>
            <w:r w:rsidRPr="00FF6894">
              <w:t xml:space="preserve"> can effectively support staff while also appropriately managing </w:t>
            </w:r>
            <w:r w:rsidR="008D5255">
              <w:t>its</w:t>
            </w:r>
            <w:r w:rsidRPr="00FF6894">
              <w:t xml:space="preserve"> 500+ facilities across the state.</w:t>
            </w:r>
          </w:p>
          <w:p w14:paraId="084BD12B" w14:textId="77777777" w:rsidR="001C250F" w:rsidRDefault="001C250F" w:rsidP="00CD047D"/>
          <w:p w14:paraId="792E98BF" w14:textId="2CD41DE5" w:rsidR="007329CA" w:rsidRDefault="005774EF" w:rsidP="00CD047D">
            <w:r>
              <w:t>Following the formation of the Department for Children, Education and Young People, s</w:t>
            </w:r>
            <w:r w:rsidR="007329CA">
              <w:t xml:space="preserve">taff from the teams </w:t>
            </w:r>
            <w:r w:rsidR="00BD47A4">
              <w:t>impacted by the change proposal are currently physically located across four locations:</w:t>
            </w:r>
          </w:p>
          <w:p w14:paraId="61EDB9D2" w14:textId="7CF5921C" w:rsidR="00BD47A4" w:rsidRDefault="00E6564D" w:rsidP="00BD47A4">
            <w:pPr>
              <w:pStyle w:val="ListParagraph"/>
              <w:numPr>
                <w:ilvl w:val="0"/>
                <w:numId w:val="25"/>
              </w:numPr>
            </w:pPr>
            <w:r>
              <w:t>Letitia House, Mt Nelson</w:t>
            </w:r>
          </w:p>
          <w:p w14:paraId="147AA3B9" w14:textId="00F263F1" w:rsidR="00E6564D" w:rsidRDefault="00E6564D" w:rsidP="00BD47A4">
            <w:pPr>
              <w:pStyle w:val="ListParagraph"/>
              <w:numPr>
                <w:ilvl w:val="0"/>
                <w:numId w:val="25"/>
              </w:numPr>
            </w:pPr>
            <w:proofErr w:type="spellStart"/>
            <w:r>
              <w:t>Kirksway</w:t>
            </w:r>
            <w:proofErr w:type="spellEnd"/>
            <w:r>
              <w:t xml:space="preserve"> Place, Hobart,</w:t>
            </w:r>
          </w:p>
          <w:p w14:paraId="260BFB31" w14:textId="14C816BE" w:rsidR="00E6564D" w:rsidRDefault="00E6564D" w:rsidP="00BD47A4">
            <w:pPr>
              <w:pStyle w:val="ListParagraph"/>
              <w:numPr>
                <w:ilvl w:val="0"/>
                <w:numId w:val="25"/>
              </w:numPr>
            </w:pPr>
            <w:r>
              <w:t>Parliament Square, Hobart; and</w:t>
            </w:r>
          </w:p>
          <w:p w14:paraId="55830A20" w14:textId="4E765694" w:rsidR="00E6564D" w:rsidRDefault="00E6564D" w:rsidP="00CF0B5F">
            <w:pPr>
              <w:pStyle w:val="ListParagraph"/>
              <w:numPr>
                <w:ilvl w:val="0"/>
                <w:numId w:val="25"/>
              </w:numPr>
            </w:pPr>
            <w:r>
              <w:t>26 Bathurst St, Hobart</w:t>
            </w:r>
          </w:p>
          <w:p w14:paraId="2D2A2AF7" w14:textId="3F70AA5B" w:rsidR="00AC46FB" w:rsidRDefault="00AC46FB" w:rsidP="00CD047D"/>
          <w:p w14:paraId="4C2C8DB3" w14:textId="7B449F57" w:rsidR="00406DFA" w:rsidRDefault="00406DFA" w:rsidP="00406DFA">
            <w:r w:rsidRPr="00CF0B5F">
              <w:t xml:space="preserve">The proposed change involves staff from </w:t>
            </w:r>
            <w:r w:rsidR="00E6564D" w:rsidRPr="00CF0B5F">
              <w:t>the</w:t>
            </w:r>
            <w:r w:rsidR="00B24BC9" w:rsidRPr="00CF0B5F">
              <w:t xml:space="preserve"> identified</w:t>
            </w:r>
            <w:r w:rsidRPr="00CF0B5F">
              <w:t xml:space="preserve"> business units</w:t>
            </w:r>
            <w:r w:rsidR="00E6564D" w:rsidRPr="00CF0B5F">
              <w:t xml:space="preserve"> </w:t>
            </w:r>
            <w:r w:rsidRPr="00CF0B5F">
              <w:t xml:space="preserve">moving </w:t>
            </w:r>
            <w:r w:rsidR="00B24BC9" w:rsidRPr="00CF0B5F">
              <w:t xml:space="preserve">with their team into a </w:t>
            </w:r>
            <w:r w:rsidR="00966919" w:rsidRPr="00CF0B5F">
              <w:t xml:space="preserve">single physical location – either </w:t>
            </w:r>
            <w:r w:rsidR="005774EF" w:rsidRPr="00CF0B5F">
              <w:t>at</w:t>
            </w:r>
            <w:r w:rsidR="00966919" w:rsidRPr="00CF0B5F">
              <w:t xml:space="preserve"> </w:t>
            </w:r>
            <w:proofErr w:type="spellStart"/>
            <w:r w:rsidR="00966919" w:rsidRPr="00CF0B5F">
              <w:t>Kirksway</w:t>
            </w:r>
            <w:proofErr w:type="spellEnd"/>
            <w:r w:rsidR="00966919" w:rsidRPr="00CF0B5F">
              <w:t xml:space="preserve"> Place or </w:t>
            </w:r>
            <w:r w:rsidR="00966919" w:rsidRPr="00CF0B5F">
              <w:lastRenderedPageBreak/>
              <w:t>Parliament Square. In addition to co-lo</w:t>
            </w:r>
            <w:r w:rsidR="005774EF" w:rsidRPr="00CF0B5F">
              <w:t>c</w:t>
            </w:r>
            <w:r w:rsidR="00966919" w:rsidRPr="00CF0B5F">
              <w:t xml:space="preserve">ating each team in the same </w:t>
            </w:r>
            <w:r w:rsidR="005774EF" w:rsidRPr="00CF0B5F">
              <w:t>physical</w:t>
            </w:r>
            <w:r w:rsidR="00966919" w:rsidRPr="00CF0B5F">
              <w:t xml:space="preserve"> space, t</w:t>
            </w:r>
            <w:r w:rsidR="005774EF" w:rsidRPr="00CF0B5F">
              <w:t xml:space="preserve">he proposal will also see teams situated nearby to other </w:t>
            </w:r>
            <w:r w:rsidR="00E41F14" w:rsidRPr="00CF0B5F">
              <w:t>teams who provide similar functions.</w:t>
            </w:r>
          </w:p>
          <w:p w14:paraId="158EE195" w14:textId="77777777" w:rsidR="00406DFA" w:rsidRDefault="00406DFA" w:rsidP="00CD047D"/>
          <w:p w14:paraId="444F5CDE" w14:textId="11F33333" w:rsidR="00D07016" w:rsidRDefault="005F4EEA" w:rsidP="00CD047D">
            <w:r>
              <w:t xml:space="preserve">Consultation will commence </w:t>
            </w:r>
            <w:r w:rsidR="00D07016">
              <w:t>as follows:</w:t>
            </w:r>
          </w:p>
          <w:p w14:paraId="553FD265" w14:textId="0A42C885" w:rsidR="00AF3B84" w:rsidRDefault="00AF3B84" w:rsidP="00AF3B84">
            <w:pPr>
              <w:pStyle w:val="ListParagraph"/>
              <w:numPr>
                <w:ilvl w:val="0"/>
                <w:numId w:val="24"/>
              </w:numPr>
            </w:pPr>
            <w:r>
              <w:t xml:space="preserve">Week commencing </w:t>
            </w:r>
            <w:r w:rsidR="00907375">
              <w:t>29 May</w:t>
            </w:r>
            <w:r w:rsidR="00910857">
              <w:t xml:space="preserve"> 2023</w:t>
            </w:r>
            <w:r w:rsidR="00907375">
              <w:t xml:space="preserve">: </w:t>
            </w:r>
            <w:r w:rsidR="005F4EEA">
              <w:t>Proposal shared with</w:t>
            </w:r>
            <w:r w:rsidR="00907375">
              <w:t xml:space="preserve"> </w:t>
            </w:r>
            <w:r w:rsidR="00910857">
              <w:t xml:space="preserve">staff and </w:t>
            </w:r>
            <w:r w:rsidR="00907375">
              <w:t>unions</w:t>
            </w:r>
            <w:r w:rsidR="005F4EEA">
              <w:t>.</w:t>
            </w:r>
          </w:p>
          <w:p w14:paraId="465644C6" w14:textId="4A58E0A1" w:rsidR="005774EF" w:rsidRDefault="007627A5" w:rsidP="00AF3B84">
            <w:pPr>
              <w:pStyle w:val="ListParagraph"/>
              <w:numPr>
                <w:ilvl w:val="0"/>
                <w:numId w:val="24"/>
              </w:numPr>
            </w:pPr>
            <w:r>
              <w:t>Week commencing 5 June</w:t>
            </w:r>
            <w:r w:rsidR="00C03AE5">
              <w:t xml:space="preserve"> 2023</w:t>
            </w:r>
            <w:r>
              <w:t xml:space="preserve">: Establish </w:t>
            </w:r>
            <w:r w:rsidR="007E420A">
              <w:t xml:space="preserve">joint employee/union </w:t>
            </w:r>
            <w:r>
              <w:t>working group</w:t>
            </w:r>
            <w:r w:rsidR="00C03AE5">
              <w:t xml:space="preserve"> to be the key forum to discuss the proposal and consider staff/union feedback.</w:t>
            </w:r>
          </w:p>
          <w:p w14:paraId="6F4BCD59" w14:textId="7AA9314A" w:rsidR="00984CEC" w:rsidRPr="00C455A7" w:rsidRDefault="00984CEC" w:rsidP="00CF0B5F">
            <w:pPr>
              <w:ind w:left="360"/>
            </w:pPr>
          </w:p>
        </w:tc>
      </w:tr>
      <w:tr w:rsidR="003B25E2" w:rsidRPr="00C455A7" w14:paraId="62C5A2CE" w14:textId="77777777" w:rsidTr="008248F4">
        <w:trPr>
          <w:trHeight w:val="1111"/>
        </w:trPr>
        <w:tc>
          <w:tcPr>
            <w:tcW w:w="3432" w:type="dxa"/>
            <w:gridSpan w:val="2"/>
            <w:shd w:val="clear" w:color="auto" w:fill="D9D9D9" w:themeFill="background1" w:themeFillShade="D9"/>
          </w:tcPr>
          <w:p w14:paraId="2584ECDA" w14:textId="77777777" w:rsidR="003B25E2" w:rsidRPr="00C455A7" w:rsidRDefault="003B25E2" w:rsidP="003B25E2">
            <w:pPr>
              <w:rPr>
                <w:b/>
              </w:rPr>
            </w:pPr>
            <w:r w:rsidRPr="00C455A7">
              <w:rPr>
                <w:b/>
              </w:rPr>
              <w:lastRenderedPageBreak/>
              <w:t>Proposal for Change:</w:t>
            </w:r>
          </w:p>
          <w:p w14:paraId="777F1BA4" w14:textId="3C44FFDF" w:rsidR="003B25E2" w:rsidRPr="00C455A7" w:rsidRDefault="000A7938" w:rsidP="003B25E2">
            <w:r w:rsidRPr="00C455A7">
              <w:t xml:space="preserve">How the area proposes to meet the </w:t>
            </w:r>
            <w:r w:rsidR="002209A2">
              <w:t>change</w:t>
            </w:r>
            <w:r w:rsidRPr="00C455A7">
              <w:t>:</w:t>
            </w:r>
          </w:p>
          <w:p w14:paraId="40C974BB" w14:textId="77777777" w:rsidR="000859F8" w:rsidRDefault="000859F8" w:rsidP="000C0411">
            <w:pPr>
              <w:pStyle w:val="ListParagraph"/>
              <w:numPr>
                <w:ilvl w:val="0"/>
                <w:numId w:val="2"/>
              </w:numPr>
              <w:ind w:left="459"/>
            </w:pPr>
            <w:r w:rsidRPr="00C455A7">
              <w:t>Why is this change necessary?</w:t>
            </w:r>
          </w:p>
          <w:p w14:paraId="62546879" w14:textId="2EC7C47B" w:rsidR="000A7938" w:rsidRPr="00C455A7" w:rsidRDefault="000A7938" w:rsidP="000C0411">
            <w:pPr>
              <w:pStyle w:val="ListParagraph"/>
              <w:numPr>
                <w:ilvl w:val="0"/>
                <w:numId w:val="2"/>
              </w:numPr>
              <w:ind w:left="459"/>
            </w:pPr>
            <w:r w:rsidRPr="00C455A7">
              <w:t>What is the change proposed for the area?</w:t>
            </w:r>
          </w:p>
          <w:p w14:paraId="5B38DA93" w14:textId="40CB5AD1" w:rsidR="000A7938" w:rsidRPr="00C455A7" w:rsidRDefault="000A7938" w:rsidP="000859F8"/>
        </w:tc>
        <w:tc>
          <w:tcPr>
            <w:tcW w:w="7108" w:type="dxa"/>
            <w:gridSpan w:val="3"/>
          </w:tcPr>
          <w:p w14:paraId="4709557C" w14:textId="1CC3B7DF" w:rsidR="006E6093" w:rsidRDefault="00352FB3" w:rsidP="006E6093">
            <w:r>
              <w:t>As part of the journey in</w:t>
            </w:r>
            <w:r w:rsidR="006E6093">
              <w:t xml:space="preserve"> the </w:t>
            </w:r>
            <w:r w:rsidR="004C49D6">
              <w:t xml:space="preserve">formation of the </w:t>
            </w:r>
            <w:r w:rsidR="006E6093">
              <w:t xml:space="preserve">new Department, </w:t>
            </w:r>
            <w:r>
              <w:t xml:space="preserve">it is preferrable for </w:t>
            </w:r>
            <w:r w:rsidR="006E6093">
              <w:t xml:space="preserve">teams and functions </w:t>
            </w:r>
            <w:r>
              <w:t xml:space="preserve">to </w:t>
            </w:r>
            <w:r w:rsidR="006E6093">
              <w:t xml:space="preserve">be co-located where possible. </w:t>
            </w:r>
            <w:r>
              <w:t>In this context t</w:t>
            </w:r>
            <w:r w:rsidR="006E6093" w:rsidRPr="00D620EC">
              <w:t xml:space="preserve">he Executive Board has </w:t>
            </w:r>
            <w:r w:rsidR="003276E9" w:rsidRPr="00D620EC">
              <w:t>considered appropriate</w:t>
            </w:r>
            <w:r>
              <w:t xml:space="preserve"> </w:t>
            </w:r>
            <w:r w:rsidR="006E6093" w:rsidRPr="00D620EC">
              <w:t>opportunities for teams in the South to come together and enhance their ways of working and delivery of their work</w:t>
            </w:r>
            <w:r>
              <w:t xml:space="preserve">, particularly in supporting </w:t>
            </w:r>
            <w:r w:rsidR="009F0063">
              <w:t xml:space="preserve">DECYP’s </w:t>
            </w:r>
            <w:r>
              <w:t>frontline services</w:t>
            </w:r>
            <w:r w:rsidR="006E6093" w:rsidRPr="00D620EC">
              <w:t>.</w:t>
            </w:r>
          </w:p>
          <w:p w14:paraId="307F7C00" w14:textId="77777777" w:rsidR="00E56DBA" w:rsidRDefault="00E56DBA" w:rsidP="00E56DBA">
            <w:pPr>
              <w:jc w:val="both"/>
            </w:pPr>
          </w:p>
          <w:p w14:paraId="0E8B355F" w14:textId="03D9B8E0" w:rsidR="000A4FA6" w:rsidRDefault="00252CFA" w:rsidP="00632BC9">
            <w:pPr>
              <w:jc w:val="both"/>
            </w:pPr>
            <w:r w:rsidRPr="00252CFA">
              <w:t xml:space="preserve">The </w:t>
            </w:r>
            <w:r w:rsidR="006B5CCC">
              <w:t xml:space="preserve">accommodation </w:t>
            </w:r>
            <w:r w:rsidR="00352FB3">
              <w:t>propos</w:t>
            </w:r>
            <w:r w:rsidR="00AE22CA">
              <w:t>al</w:t>
            </w:r>
            <w:r w:rsidR="009F0063">
              <w:t xml:space="preserve"> </w:t>
            </w:r>
            <w:r w:rsidRPr="00252CFA">
              <w:t>affect</w:t>
            </w:r>
            <w:r w:rsidR="00AE22CA">
              <w:t>s</w:t>
            </w:r>
            <w:r w:rsidRPr="00252CFA">
              <w:t xml:space="preserve"> some staff in Parliament Square (PSQ), Bathurst Street, and </w:t>
            </w:r>
            <w:proofErr w:type="spellStart"/>
            <w:r w:rsidRPr="00252CFA">
              <w:t>Kirksway</w:t>
            </w:r>
            <w:proofErr w:type="spellEnd"/>
            <w:r w:rsidRPr="00252CFA">
              <w:t xml:space="preserve"> Place in Hobart, and Letitia House in Mount Nelson.</w:t>
            </w:r>
            <w:r w:rsidR="009F0063">
              <w:t xml:space="preserve"> </w:t>
            </w:r>
          </w:p>
          <w:p w14:paraId="1716E9D9" w14:textId="77777777" w:rsidR="00F5628F" w:rsidRDefault="00F5628F" w:rsidP="00632BC9">
            <w:pPr>
              <w:jc w:val="both"/>
            </w:pPr>
          </w:p>
          <w:p w14:paraId="13B23543" w14:textId="460B6A18" w:rsidR="00931F1C" w:rsidRDefault="00931F1C" w:rsidP="00931F1C">
            <w:pPr>
              <w:jc w:val="both"/>
            </w:pPr>
            <w:r>
              <w:t xml:space="preserve">It is </w:t>
            </w:r>
            <w:r w:rsidR="00960E0B">
              <w:t>proposed</w:t>
            </w:r>
            <w:r>
              <w:t xml:space="preserve"> that staff in the following teams will move from their current location to the location listed:</w:t>
            </w:r>
          </w:p>
          <w:p w14:paraId="36B20389" w14:textId="77777777" w:rsidR="00931F1C" w:rsidRDefault="00931F1C" w:rsidP="00931F1C">
            <w:pPr>
              <w:pStyle w:val="ListParagraph"/>
              <w:numPr>
                <w:ilvl w:val="0"/>
                <w:numId w:val="19"/>
              </w:numPr>
              <w:jc w:val="both"/>
            </w:pPr>
            <w:r>
              <w:t xml:space="preserve">Business Operations and Support (BOS) – Office of the Deputy Secretary (to </w:t>
            </w:r>
            <w:proofErr w:type="spellStart"/>
            <w:r>
              <w:t>Kirksway</w:t>
            </w:r>
            <w:proofErr w:type="spellEnd"/>
            <w:r>
              <w:t xml:space="preserve"> Place)</w:t>
            </w:r>
          </w:p>
          <w:p w14:paraId="663E8173" w14:textId="77777777" w:rsidR="00931F1C" w:rsidRDefault="00931F1C" w:rsidP="00931F1C">
            <w:pPr>
              <w:pStyle w:val="ListParagraph"/>
              <w:numPr>
                <w:ilvl w:val="0"/>
                <w:numId w:val="19"/>
              </w:numPr>
              <w:jc w:val="both"/>
            </w:pPr>
            <w:r>
              <w:t>BOS Legal Services (</w:t>
            </w:r>
            <w:proofErr w:type="spellStart"/>
            <w:r>
              <w:t>Kirksway</w:t>
            </w:r>
            <w:proofErr w:type="spellEnd"/>
            <w:r>
              <w:t xml:space="preserve"> Place)</w:t>
            </w:r>
          </w:p>
          <w:p w14:paraId="18C53A76" w14:textId="77777777" w:rsidR="00931F1C" w:rsidRDefault="00931F1C" w:rsidP="00931F1C">
            <w:pPr>
              <w:pStyle w:val="ListParagraph"/>
              <w:numPr>
                <w:ilvl w:val="0"/>
                <w:numId w:val="19"/>
              </w:numPr>
              <w:jc w:val="both"/>
            </w:pPr>
            <w:r>
              <w:t>BOS Transition and Improvement (</w:t>
            </w:r>
            <w:proofErr w:type="spellStart"/>
            <w:r>
              <w:t>Kirksway</w:t>
            </w:r>
            <w:proofErr w:type="spellEnd"/>
            <w:r>
              <w:t xml:space="preserve"> Place)</w:t>
            </w:r>
          </w:p>
          <w:p w14:paraId="61606E92" w14:textId="77777777" w:rsidR="00931F1C" w:rsidRDefault="00931F1C" w:rsidP="00931F1C">
            <w:pPr>
              <w:pStyle w:val="ListParagraph"/>
              <w:numPr>
                <w:ilvl w:val="0"/>
                <w:numId w:val="19"/>
              </w:numPr>
              <w:jc w:val="both"/>
            </w:pPr>
            <w:r>
              <w:t>BOS Organisational Safety (</w:t>
            </w:r>
            <w:proofErr w:type="spellStart"/>
            <w:r>
              <w:t>Kirksway</w:t>
            </w:r>
            <w:proofErr w:type="spellEnd"/>
            <w:r>
              <w:t xml:space="preserve"> Place)</w:t>
            </w:r>
          </w:p>
          <w:p w14:paraId="4B7ECF99" w14:textId="77777777" w:rsidR="00931F1C" w:rsidRDefault="00931F1C" w:rsidP="00931F1C">
            <w:pPr>
              <w:pStyle w:val="ListParagraph"/>
              <w:numPr>
                <w:ilvl w:val="0"/>
                <w:numId w:val="19"/>
              </w:numPr>
              <w:jc w:val="both"/>
            </w:pPr>
            <w:r>
              <w:t>Keeping Children Safe – Office of the Deputy Secretary (</w:t>
            </w:r>
            <w:proofErr w:type="spellStart"/>
            <w:r>
              <w:t>Kirksway</w:t>
            </w:r>
            <w:proofErr w:type="spellEnd"/>
            <w:r>
              <w:t xml:space="preserve"> Place)</w:t>
            </w:r>
          </w:p>
          <w:p w14:paraId="5AEF0463" w14:textId="77777777" w:rsidR="00931F1C" w:rsidRDefault="00931F1C" w:rsidP="00931F1C">
            <w:pPr>
              <w:pStyle w:val="ListParagraph"/>
              <w:numPr>
                <w:ilvl w:val="0"/>
                <w:numId w:val="19"/>
              </w:numPr>
              <w:jc w:val="both"/>
            </w:pPr>
            <w:r>
              <w:t>Office of Safeguarding Children (</w:t>
            </w:r>
            <w:proofErr w:type="spellStart"/>
            <w:r>
              <w:t>Kirksway</w:t>
            </w:r>
            <w:proofErr w:type="spellEnd"/>
            <w:r>
              <w:t xml:space="preserve"> Place)</w:t>
            </w:r>
          </w:p>
          <w:p w14:paraId="1E8821B5" w14:textId="77777777" w:rsidR="00931F1C" w:rsidRDefault="00931F1C" w:rsidP="00931F1C">
            <w:pPr>
              <w:pStyle w:val="ListParagraph"/>
              <w:numPr>
                <w:ilvl w:val="0"/>
                <w:numId w:val="19"/>
              </w:numPr>
              <w:jc w:val="both"/>
            </w:pPr>
            <w:r>
              <w:t>Child and Student Wellbeing (Parliament Square)</w:t>
            </w:r>
          </w:p>
          <w:p w14:paraId="34511945" w14:textId="77777777" w:rsidR="00960E0B" w:rsidRDefault="00931F1C" w:rsidP="00931F1C">
            <w:pPr>
              <w:pStyle w:val="ListParagraph"/>
              <w:numPr>
                <w:ilvl w:val="0"/>
                <w:numId w:val="19"/>
              </w:numPr>
              <w:jc w:val="both"/>
            </w:pPr>
            <w:r>
              <w:t>Inclusion and Cultural Diversity (Parliament Square)</w:t>
            </w:r>
          </w:p>
          <w:p w14:paraId="63017414" w14:textId="3DB06CF7" w:rsidR="00931F1C" w:rsidRDefault="00931F1C" w:rsidP="00CF0B5F">
            <w:pPr>
              <w:pStyle w:val="ListParagraph"/>
              <w:numPr>
                <w:ilvl w:val="0"/>
                <w:numId w:val="19"/>
              </w:numPr>
              <w:jc w:val="both"/>
            </w:pPr>
            <w:r>
              <w:t>Strategic Policy and Projects (Parliament Square)</w:t>
            </w:r>
          </w:p>
          <w:p w14:paraId="6360CF73" w14:textId="77777777" w:rsidR="00960E0B" w:rsidRDefault="00960E0B" w:rsidP="00931F1C">
            <w:pPr>
              <w:jc w:val="both"/>
            </w:pPr>
          </w:p>
          <w:p w14:paraId="2F261378" w14:textId="0EE1C213" w:rsidR="00960E0B" w:rsidRPr="00C455A7" w:rsidRDefault="00960E0B" w:rsidP="00931F1C">
            <w:pPr>
              <w:jc w:val="both"/>
            </w:pPr>
            <w:r>
              <w:t xml:space="preserve">Concurrent with this change is a proposal to move the People Services and Support team to Level 1, </w:t>
            </w:r>
            <w:proofErr w:type="spellStart"/>
            <w:r>
              <w:t>Kirksway</w:t>
            </w:r>
            <w:proofErr w:type="spellEnd"/>
            <w:r>
              <w:t xml:space="preserve"> Place.</w:t>
            </w:r>
          </w:p>
        </w:tc>
      </w:tr>
      <w:tr w:rsidR="006C2B32" w:rsidRPr="00C455A7" w14:paraId="30DDDFD0" w14:textId="77777777" w:rsidTr="008248F4">
        <w:trPr>
          <w:trHeight w:val="1992"/>
        </w:trPr>
        <w:tc>
          <w:tcPr>
            <w:tcW w:w="3432" w:type="dxa"/>
            <w:gridSpan w:val="2"/>
            <w:shd w:val="clear" w:color="auto" w:fill="D9D9D9" w:themeFill="background1" w:themeFillShade="D9"/>
          </w:tcPr>
          <w:p w14:paraId="5303AC3A" w14:textId="77777777" w:rsidR="006C2B32" w:rsidRPr="00C455A7" w:rsidRDefault="006C2B32" w:rsidP="003B25E2">
            <w:pPr>
              <w:rPr>
                <w:b/>
              </w:rPr>
            </w:pPr>
            <w:r w:rsidRPr="00C455A7">
              <w:rPr>
                <w:b/>
              </w:rPr>
              <w:t>Impact of Proposal on Employees:</w:t>
            </w:r>
          </w:p>
          <w:p w14:paraId="4EF2FC6B" w14:textId="77777777" w:rsidR="006C2B32" w:rsidRPr="00C455A7" w:rsidRDefault="006C2B32" w:rsidP="000C0411">
            <w:pPr>
              <w:pStyle w:val="ListParagraph"/>
              <w:numPr>
                <w:ilvl w:val="0"/>
                <w:numId w:val="3"/>
              </w:numPr>
              <w:ind w:left="459"/>
            </w:pPr>
            <w:r w:rsidRPr="00C455A7">
              <w:t>What will be the impact on employees?</w:t>
            </w:r>
          </w:p>
          <w:p w14:paraId="5ACA7C6C" w14:textId="77777777" w:rsidR="006C2B32" w:rsidRPr="00C455A7" w:rsidRDefault="006C2B32" w:rsidP="000C0411">
            <w:pPr>
              <w:pStyle w:val="ListParagraph"/>
              <w:numPr>
                <w:ilvl w:val="0"/>
                <w:numId w:val="3"/>
              </w:numPr>
              <w:ind w:left="459"/>
            </w:pPr>
            <w:r w:rsidRPr="00C455A7">
              <w:t>How is this being managed?</w:t>
            </w:r>
          </w:p>
          <w:p w14:paraId="25141620" w14:textId="77777777" w:rsidR="006C2B32" w:rsidRPr="00C455A7" w:rsidRDefault="006C2B32" w:rsidP="000C0411">
            <w:pPr>
              <w:pStyle w:val="ListParagraph"/>
              <w:numPr>
                <w:ilvl w:val="0"/>
                <w:numId w:val="3"/>
              </w:numPr>
              <w:ind w:left="459"/>
            </w:pPr>
            <w:r w:rsidRPr="00C455A7">
              <w:t>Include specifics on identified roles, teams, or individuals who are likely to be affected by the proposed change(s) and measures imposed to minimise impact and timelines</w:t>
            </w:r>
          </w:p>
        </w:tc>
        <w:tc>
          <w:tcPr>
            <w:tcW w:w="7108" w:type="dxa"/>
            <w:gridSpan w:val="3"/>
          </w:tcPr>
          <w:p w14:paraId="4C78299F" w14:textId="61FD9E76" w:rsidR="006C2B32" w:rsidRDefault="00C714C4" w:rsidP="0071028B">
            <w:pPr>
              <w:jc w:val="both"/>
            </w:pPr>
            <w:r>
              <w:t xml:space="preserve">It is </w:t>
            </w:r>
            <w:r w:rsidRPr="00C714C4">
              <w:t>recognise</w:t>
            </w:r>
            <w:r>
              <w:t>d that</w:t>
            </w:r>
            <w:r w:rsidRPr="00C714C4">
              <w:t xml:space="preserve"> these </w:t>
            </w:r>
            <w:r>
              <w:t xml:space="preserve">proposed </w:t>
            </w:r>
            <w:r w:rsidRPr="00C714C4">
              <w:t xml:space="preserve">changes </w:t>
            </w:r>
            <w:r w:rsidR="00FD1298">
              <w:t>may</w:t>
            </w:r>
            <w:r w:rsidR="00C002D5" w:rsidRPr="00C714C4">
              <w:t xml:space="preserve"> </w:t>
            </w:r>
            <w:r w:rsidRPr="00C714C4">
              <w:t xml:space="preserve">have an impact on </w:t>
            </w:r>
            <w:proofErr w:type="gramStart"/>
            <w:r w:rsidRPr="00C714C4">
              <w:t>staff</w:t>
            </w:r>
            <w:proofErr w:type="gramEnd"/>
            <w:r w:rsidRPr="00C714C4">
              <w:t xml:space="preserve"> and </w:t>
            </w:r>
            <w:r w:rsidR="00C85242">
              <w:t>they will be supported</w:t>
            </w:r>
            <w:r w:rsidRPr="00C714C4">
              <w:t xml:space="preserve"> through </w:t>
            </w:r>
            <w:r w:rsidR="00352FB3">
              <w:t xml:space="preserve">such, particularly </w:t>
            </w:r>
            <w:r w:rsidR="003D7B80">
              <w:t xml:space="preserve">during any transition to </w:t>
            </w:r>
            <w:r w:rsidR="006B5CCC">
              <w:t>any relocation</w:t>
            </w:r>
            <w:r w:rsidRPr="00C714C4">
              <w:t>.</w:t>
            </w:r>
          </w:p>
          <w:p w14:paraId="373B7A35" w14:textId="77777777" w:rsidR="00074F2A" w:rsidRDefault="00074F2A" w:rsidP="0071028B">
            <w:pPr>
              <w:jc w:val="both"/>
            </w:pPr>
          </w:p>
          <w:p w14:paraId="534E815B" w14:textId="3A1EBB6A" w:rsidR="00074F2A" w:rsidRDefault="00074F2A" w:rsidP="0071028B">
            <w:pPr>
              <w:jc w:val="both"/>
            </w:pPr>
            <w:r>
              <w:t xml:space="preserve">For some staff the </w:t>
            </w:r>
            <w:r w:rsidR="004C75FB">
              <w:t xml:space="preserve">proposed </w:t>
            </w:r>
            <w:r>
              <w:t xml:space="preserve">changes will have impacts on travel </w:t>
            </w:r>
            <w:r w:rsidR="003D7B80">
              <w:t xml:space="preserve">and personal vehicle </w:t>
            </w:r>
            <w:r>
              <w:t xml:space="preserve">arrangements. </w:t>
            </w:r>
          </w:p>
          <w:p w14:paraId="155381F3" w14:textId="77777777" w:rsidR="005A3ECF" w:rsidRDefault="005A3ECF" w:rsidP="0071028B">
            <w:pPr>
              <w:jc w:val="both"/>
            </w:pPr>
          </w:p>
          <w:p w14:paraId="69871682" w14:textId="59B5124C" w:rsidR="005A3ECF" w:rsidRDefault="000A32DB" w:rsidP="0071028B">
            <w:pPr>
              <w:jc w:val="both"/>
            </w:pPr>
            <w:r>
              <w:t xml:space="preserve">To inform and refine the change proposal, </w:t>
            </w:r>
            <w:r w:rsidR="00C75950">
              <w:t xml:space="preserve">staff </w:t>
            </w:r>
            <w:r w:rsidR="00E40F7C">
              <w:t xml:space="preserve">from the identified teams </w:t>
            </w:r>
            <w:r w:rsidR="00C75950">
              <w:t xml:space="preserve">will </w:t>
            </w:r>
            <w:r w:rsidR="00052325">
              <w:t>be consulted with and invited to provide their views and feedback</w:t>
            </w:r>
            <w:r w:rsidR="003E0B34">
              <w:t xml:space="preserve">. </w:t>
            </w:r>
            <w:r w:rsidR="00984CEC">
              <w:t>As well as direct briefings with staff, a</w:t>
            </w:r>
            <w:r w:rsidR="00CB18C1">
              <w:t xml:space="preserve"> set of Frequently Asked Questions (FAQs) on the </w:t>
            </w:r>
            <w:r w:rsidR="003D7B80">
              <w:t xml:space="preserve">proposed </w:t>
            </w:r>
            <w:r w:rsidR="00CB18C1">
              <w:t>accommodation transition is being developed</w:t>
            </w:r>
            <w:r w:rsidR="00A63976">
              <w:t xml:space="preserve"> and issues or concerns </w:t>
            </w:r>
            <w:r w:rsidR="00F62B24">
              <w:t xml:space="preserve">raised </w:t>
            </w:r>
            <w:r w:rsidR="00A63976">
              <w:t xml:space="preserve">will be </w:t>
            </w:r>
            <w:r w:rsidR="00F62B24">
              <w:t xml:space="preserve">considered. </w:t>
            </w:r>
          </w:p>
          <w:p w14:paraId="2B940164" w14:textId="32899D71" w:rsidR="00984CEC" w:rsidRDefault="00984CEC" w:rsidP="0071028B">
            <w:pPr>
              <w:jc w:val="both"/>
            </w:pPr>
          </w:p>
          <w:p w14:paraId="6469B81D" w14:textId="4808A700" w:rsidR="00984CEC" w:rsidRDefault="00984CEC" w:rsidP="0071028B">
            <w:pPr>
              <w:jc w:val="both"/>
            </w:pPr>
            <w:r>
              <w:t xml:space="preserve">Two-way communication will be prioritised throughout the </w:t>
            </w:r>
            <w:r w:rsidR="00FB7F17">
              <w:t xml:space="preserve">consultation period </w:t>
            </w:r>
            <w:r>
              <w:t>so that staff have the information they need, when they need it, in the format they need it.</w:t>
            </w:r>
          </w:p>
          <w:p w14:paraId="53910D2E" w14:textId="2162F390" w:rsidR="00984CEC" w:rsidRDefault="00984CEC" w:rsidP="0071028B">
            <w:pPr>
              <w:jc w:val="both"/>
            </w:pPr>
          </w:p>
          <w:p w14:paraId="469C19F0" w14:textId="5D9B9B11" w:rsidR="00984CEC" w:rsidRDefault="00984CEC" w:rsidP="0071028B">
            <w:pPr>
              <w:jc w:val="both"/>
            </w:pPr>
            <w:r>
              <w:t>Staff c</w:t>
            </w:r>
            <w:r w:rsidR="004B55F2">
              <w:t xml:space="preserve">onsultation </w:t>
            </w:r>
            <w:r>
              <w:t xml:space="preserve">on </w:t>
            </w:r>
            <w:r w:rsidR="00EC1230">
              <w:t xml:space="preserve">the co-location proposal </w:t>
            </w:r>
            <w:r>
              <w:t xml:space="preserve">will </w:t>
            </w:r>
            <w:r w:rsidR="000C3E35">
              <w:t xml:space="preserve">commence </w:t>
            </w:r>
            <w:r w:rsidR="005331B4">
              <w:t>on 1 June</w:t>
            </w:r>
            <w:r w:rsidR="004B55F2">
              <w:t xml:space="preserve"> </w:t>
            </w:r>
            <w:r w:rsidR="00FB7F17">
              <w:t>2023</w:t>
            </w:r>
            <w:r w:rsidR="00776F87">
              <w:t xml:space="preserve"> </w:t>
            </w:r>
            <w:r w:rsidR="004B0DE3" w:rsidRPr="004B0DE3">
              <w:t>to provide staff with an opportunity to provide feedback, ask questions, and view floor plans. Site tours can also be arranged for staff to view the</w:t>
            </w:r>
            <w:r w:rsidR="003D7B80">
              <w:t xml:space="preserve"> proposed</w:t>
            </w:r>
            <w:r w:rsidR="004B0DE3" w:rsidRPr="004B0DE3">
              <w:t xml:space="preserve"> new office accommodation.</w:t>
            </w:r>
            <w:r w:rsidR="00A2055C">
              <w:t xml:space="preserve"> </w:t>
            </w:r>
            <w:r>
              <w:t>Additional consultation sessions will be organised as needed.</w:t>
            </w:r>
          </w:p>
          <w:p w14:paraId="68412ED5" w14:textId="77777777" w:rsidR="006D4225" w:rsidRDefault="006D4225" w:rsidP="0071028B">
            <w:pPr>
              <w:jc w:val="both"/>
            </w:pPr>
          </w:p>
          <w:p w14:paraId="662EEA42" w14:textId="39EDF49A" w:rsidR="003276E9" w:rsidRPr="00C455A7" w:rsidRDefault="006D4225" w:rsidP="0071028B">
            <w:pPr>
              <w:jc w:val="both"/>
            </w:pPr>
            <w:r>
              <w:t xml:space="preserve">Leaders will work </w:t>
            </w:r>
            <w:r w:rsidRPr="006D4225">
              <w:t xml:space="preserve">with individuals on a </w:t>
            </w:r>
            <w:r w:rsidR="0088527B" w:rsidRPr="006D4225">
              <w:t>case-by-case</w:t>
            </w:r>
            <w:r w:rsidRPr="006D4225">
              <w:t xml:space="preserve"> basis to </w:t>
            </w:r>
            <w:r w:rsidR="003D7B80">
              <w:t>consider and address</w:t>
            </w:r>
            <w:r w:rsidR="003D7B80" w:rsidRPr="006D4225">
              <w:t xml:space="preserve"> </w:t>
            </w:r>
            <w:r w:rsidRPr="006D4225">
              <w:t>specific needs or concerns where practical</w:t>
            </w:r>
            <w:r>
              <w:t>.</w:t>
            </w:r>
            <w:r w:rsidR="00663910">
              <w:t xml:space="preserve"> </w:t>
            </w:r>
          </w:p>
        </w:tc>
      </w:tr>
      <w:tr w:rsidR="006C2B32" w:rsidRPr="00C455A7" w14:paraId="1C8BD55A" w14:textId="77777777" w:rsidTr="008248F4">
        <w:trPr>
          <w:trHeight w:val="1397"/>
        </w:trPr>
        <w:tc>
          <w:tcPr>
            <w:tcW w:w="3432" w:type="dxa"/>
            <w:gridSpan w:val="2"/>
            <w:shd w:val="clear" w:color="auto" w:fill="D9D9D9" w:themeFill="background1" w:themeFillShade="D9"/>
          </w:tcPr>
          <w:p w14:paraId="4ADFEF60" w14:textId="77777777" w:rsidR="006C2B32" w:rsidRPr="00C455A7" w:rsidRDefault="006C2B32" w:rsidP="003B25E2">
            <w:pPr>
              <w:rPr>
                <w:b/>
              </w:rPr>
            </w:pPr>
            <w:r w:rsidRPr="00C455A7">
              <w:rPr>
                <w:b/>
              </w:rPr>
              <w:lastRenderedPageBreak/>
              <w:t>What is the financial impact of this Proposal?</w:t>
            </w:r>
          </w:p>
          <w:p w14:paraId="0BEF144A" w14:textId="77777777" w:rsidR="006C2B32" w:rsidRPr="00C455A7" w:rsidRDefault="006C2B32" w:rsidP="000C0411">
            <w:pPr>
              <w:pStyle w:val="ListParagraph"/>
              <w:numPr>
                <w:ilvl w:val="0"/>
                <w:numId w:val="6"/>
              </w:numPr>
              <w:ind w:left="459"/>
            </w:pPr>
            <w:r w:rsidRPr="00C455A7">
              <w:t>Is there a cost to the proposal?</w:t>
            </w:r>
          </w:p>
          <w:p w14:paraId="6DEA0943" w14:textId="77777777" w:rsidR="006C2B32" w:rsidRPr="00C455A7" w:rsidRDefault="006C2B32" w:rsidP="000C0411">
            <w:pPr>
              <w:pStyle w:val="ListParagraph"/>
              <w:numPr>
                <w:ilvl w:val="0"/>
                <w:numId w:val="6"/>
              </w:numPr>
              <w:ind w:left="459"/>
            </w:pPr>
            <w:r w:rsidRPr="00C455A7">
              <w:t xml:space="preserve">What </w:t>
            </w:r>
            <w:proofErr w:type="gramStart"/>
            <w:r w:rsidRPr="00C455A7">
              <w:t>are</w:t>
            </w:r>
            <w:proofErr w:type="gramEnd"/>
            <w:r w:rsidRPr="00C455A7">
              <w:t xml:space="preserve"> the savings associated with this?</w:t>
            </w:r>
          </w:p>
          <w:p w14:paraId="467239E3" w14:textId="56BC8DA1" w:rsidR="006C2B32" w:rsidRPr="00C455A7" w:rsidRDefault="006C2B32" w:rsidP="000C0411">
            <w:pPr>
              <w:pStyle w:val="ListParagraph"/>
              <w:numPr>
                <w:ilvl w:val="0"/>
                <w:numId w:val="6"/>
              </w:numPr>
              <w:ind w:left="459"/>
            </w:pPr>
            <w:r w:rsidRPr="00C455A7">
              <w:t>Is this consistent with the financial management strategy?</w:t>
            </w:r>
          </w:p>
        </w:tc>
        <w:tc>
          <w:tcPr>
            <w:tcW w:w="7108" w:type="dxa"/>
            <w:gridSpan w:val="3"/>
          </w:tcPr>
          <w:p w14:paraId="37D96A88" w14:textId="17D1140E" w:rsidR="00770496" w:rsidRDefault="00770496" w:rsidP="006C2B32">
            <w:proofErr w:type="spellStart"/>
            <w:r>
              <w:t>Kirksway</w:t>
            </w:r>
            <w:proofErr w:type="spellEnd"/>
            <w:r w:rsidR="00CF2C72">
              <w:t xml:space="preserve"> Place has recently been</w:t>
            </w:r>
            <w:r>
              <w:t xml:space="preserve"> </w:t>
            </w:r>
            <w:r w:rsidR="00FA3915">
              <w:t>redeveloped while Parliament Square is a relatively new building</w:t>
            </w:r>
            <w:r w:rsidR="00B71D6A">
              <w:t xml:space="preserve"> not requiring additional fit out</w:t>
            </w:r>
            <w:r w:rsidR="00FA3915">
              <w:t>,</w:t>
            </w:r>
            <w:r w:rsidR="00CF2C72">
              <w:t xml:space="preserve"> and </w:t>
            </w:r>
            <w:r w:rsidR="00FC0AE6">
              <w:t xml:space="preserve">the associated </w:t>
            </w:r>
            <w:r w:rsidR="008D698A">
              <w:t xml:space="preserve">costs </w:t>
            </w:r>
            <w:r w:rsidR="00FC0AE6">
              <w:t>are not a consideration for this change proposal.</w:t>
            </w:r>
            <w:r w:rsidR="009A2F5A">
              <w:t xml:space="preserve"> There are no savings or reductions in existing Branch or team budgets.</w:t>
            </w:r>
          </w:p>
          <w:p w14:paraId="135E7CFC" w14:textId="77777777" w:rsidR="00DF4C6C" w:rsidRDefault="00DF4C6C" w:rsidP="006C2B32"/>
          <w:p w14:paraId="27239EB2" w14:textId="78E8AA5F" w:rsidR="00E84EED" w:rsidRPr="00C455A7" w:rsidRDefault="00DF4C6C" w:rsidP="005C7893">
            <w:r>
              <w:t xml:space="preserve">The financial impact </w:t>
            </w:r>
            <w:r w:rsidR="000D5038">
              <w:t xml:space="preserve">of the proposal is </w:t>
            </w:r>
            <w:r w:rsidR="000D5038" w:rsidRPr="00B378E4">
              <w:t>minimal</w:t>
            </w:r>
            <w:r w:rsidR="005C7893">
              <w:t xml:space="preserve"> </w:t>
            </w:r>
            <w:r w:rsidR="0088527B">
              <w:t xml:space="preserve">including </w:t>
            </w:r>
            <w:r>
              <w:t xml:space="preserve">costs </w:t>
            </w:r>
            <w:r w:rsidR="0088527B">
              <w:t xml:space="preserve">for </w:t>
            </w:r>
            <w:r w:rsidR="00C5551A">
              <w:t>removalists</w:t>
            </w:r>
            <w:r>
              <w:t xml:space="preserve">, IT </w:t>
            </w:r>
            <w:r w:rsidR="005C7893">
              <w:t xml:space="preserve">equipment </w:t>
            </w:r>
            <w:r>
              <w:t xml:space="preserve">and other </w:t>
            </w:r>
            <w:r w:rsidR="005C7893">
              <w:t>logistics</w:t>
            </w:r>
            <w:r w:rsidR="0088527B">
              <w:t>.</w:t>
            </w:r>
          </w:p>
        </w:tc>
      </w:tr>
      <w:tr w:rsidR="006C2B32" w:rsidRPr="00C455A7" w14:paraId="67EFD164" w14:textId="77777777" w:rsidTr="008248F4">
        <w:trPr>
          <w:trHeight w:val="505"/>
        </w:trPr>
        <w:tc>
          <w:tcPr>
            <w:tcW w:w="3432" w:type="dxa"/>
            <w:gridSpan w:val="2"/>
            <w:shd w:val="clear" w:color="auto" w:fill="D9D9D9" w:themeFill="background1" w:themeFillShade="D9"/>
          </w:tcPr>
          <w:p w14:paraId="3B84AA7F" w14:textId="77777777" w:rsidR="006C2B32" w:rsidRPr="00C455A7" w:rsidRDefault="006C2B32" w:rsidP="003B25E2">
            <w:pPr>
              <w:rPr>
                <w:b/>
              </w:rPr>
            </w:pPr>
            <w:r w:rsidRPr="00C455A7">
              <w:rPr>
                <w:b/>
              </w:rPr>
              <w:t>Impact of Proposal on Services:</w:t>
            </w:r>
          </w:p>
          <w:p w14:paraId="6B8DAAF1" w14:textId="77777777" w:rsidR="006C2B32" w:rsidRPr="00C455A7" w:rsidRDefault="006C2B32" w:rsidP="000C0411">
            <w:pPr>
              <w:pStyle w:val="ListParagraph"/>
              <w:numPr>
                <w:ilvl w:val="0"/>
                <w:numId w:val="7"/>
              </w:numPr>
              <w:ind w:left="459"/>
            </w:pPr>
            <w:r w:rsidRPr="00C455A7">
              <w:t>What will be the impact on services?</w:t>
            </w:r>
          </w:p>
          <w:p w14:paraId="34E3D377" w14:textId="77777777" w:rsidR="006C2B32" w:rsidRPr="00C455A7" w:rsidRDefault="006C2B32" w:rsidP="000C0411">
            <w:pPr>
              <w:pStyle w:val="ListParagraph"/>
              <w:numPr>
                <w:ilvl w:val="0"/>
                <w:numId w:val="7"/>
              </w:numPr>
              <w:ind w:left="459"/>
            </w:pPr>
            <w:r w:rsidRPr="00C455A7">
              <w:t>How is this being managed?</w:t>
            </w:r>
          </w:p>
          <w:p w14:paraId="23345612" w14:textId="77777777" w:rsidR="006C2B32" w:rsidRPr="00C455A7" w:rsidRDefault="006C2B32" w:rsidP="000C0411">
            <w:pPr>
              <w:pStyle w:val="ListParagraph"/>
              <w:numPr>
                <w:ilvl w:val="0"/>
                <w:numId w:val="7"/>
              </w:numPr>
              <w:ind w:left="459"/>
            </w:pPr>
            <w:r w:rsidRPr="00C455A7">
              <w:t>Include measures imposed to minimise impact and timelines</w:t>
            </w:r>
          </w:p>
          <w:p w14:paraId="29D6C236" w14:textId="77777777" w:rsidR="006C2B32" w:rsidRPr="00C455A7" w:rsidRDefault="006C2B32" w:rsidP="000C0411">
            <w:pPr>
              <w:pStyle w:val="ListParagraph"/>
              <w:numPr>
                <w:ilvl w:val="0"/>
                <w:numId w:val="7"/>
              </w:numPr>
              <w:ind w:left="459"/>
            </w:pPr>
            <w:r w:rsidRPr="00C455A7">
              <w:t>Outline possible or probable service delivery consequences and the effect on other areas of the service (by way of cost shifting)</w:t>
            </w:r>
          </w:p>
          <w:p w14:paraId="2EE56B02" w14:textId="77777777" w:rsidR="006C2B32" w:rsidRPr="00C455A7" w:rsidRDefault="006C2B32" w:rsidP="000C0411">
            <w:pPr>
              <w:pStyle w:val="ListParagraph"/>
              <w:numPr>
                <w:ilvl w:val="0"/>
                <w:numId w:val="7"/>
              </w:numPr>
              <w:ind w:left="459"/>
            </w:pPr>
            <w:r w:rsidRPr="00C455A7">
              <w:t>How will the workload be managed</w:t>
            </w:r>
          </w:p>
        </w:tc>
        <w:tc>
          <w:tcPr>
            <w:tcW w:w="7108" w:type="dxa"/>
            <w:gridSpan w:val="3"/>
          </w:tcPr>
          <w:p w14:paraId="04C9969C" w14:textId="3F2F935A" w:rsidR="00F758B8" w:rsidRDefault="00F758B8" w:rsidP="006C2B32">
            <w:r>
              <w:t>Service levels to clients, both internal and external, will not be impacted by this change proposal.</w:t>
            </w:r>
          </w:p>
          <w:p w14:paraId="2D0B9C5A" w14:textId="77777777" w:rsidR="00F758B8" w:rsidRDefault="00F758B8" w:rsidP="006C2B32"/>
          <w:p w14:paraId="7549334D" w14:textId="2CC258B3" w:rsidR="00F758B8" w:rsidRDefault="00F758B8" w:rsidP="006C2B32">
            <w:r>
              <w:t xml:space="preserve">It is envisaged that by having teams and functions together in the same location and/or physical proximity, including on the one level, will result in more effective liaison and collaboration which will create greater teamwork, understanding and service delivery. Senior staff members will be more visible and accessible, which will help in building the </w:t>
            </w:r>
            <w:r w:rsidR="00BB2A49">
              <w:t xml:space="preserve">desired </w:t>
            </w:r>
            <w:r>
              <w:t>culture in DECYP.</w:t>
            </w:r>
          </w:p>
          <w:p w14:paraId="6C92D69D" w14:textId="77777777" w:rsidR="00F758B8" w:rsidRDefault="00F758B8" w:rsidP="006C2B32"/>
          <w:p w14:paraId="0291C1B4" w14:textId="1BE73384" w:rsidR="007B0053" w:rsidRDefault="007B0053" w:rsidP="006C2B32">
            <w:r>
              <w:t>The change management process will draw on experience from the recent transition to DECYP</w:t>
            </w:r>
            <w:r w:rsidR="006A3672">
              <w:t xml:space="preserve">, </w:t>
            </w:r>
            <w:r w:rsidR="00F03A5E">
              <w:t>bringing</w:t>
            </w:r>
            <w:r w:rsidR="006A3672">
              <w:t xml:space="preserve"> together DCT and DoE into a new agency. </w:t>
            </w:r>
            <w:r w:rsidR="00035C4F">
              <w:t>T</w:t>
            </w:r>
            <w:r w:rsidR="009A2F5A">
              <w:t xml:space="preserve">he provision of </w:t>
            </w:r>
            <w:r w:rsidR="0016573A">
              <w:t xml:space="preserve">individual and on-site support from the </w:t>
            </w:r>
            <w:r w:rsidR="00776F87" w:rsidRPr="00776F87">
              <w:t>Employee Assistance Program</w:t>
            </w:r>
            <w:r w:rsidR="009A2F5A">
              <w:t xml:space="preserve"> for those staff who may wish to access those services</w:t>
            </w:r>
            <w:r w:rsidR="001C5C8A">
              <w:t>.</w:t>
            </w:r>
          </w:p>
          <w:p w14:paraId="2F2E7D14" w14:textId="77777777" w:rsidR="003D4F8F" w:rsidRDefault="003D4F8F" w:rsidP="006C2B32"/>
          <w:p w14:paraId="09585F0D" w14:textId="141142CC" w:rsidR="003D4F8F" w:rsidRDefault="003D4F8F" w:rsidP="006C2B32">
            <w:r>
              <w:t xml:space="preserve">The consultation process will help </w:t>
            </w:r>
            <w:r w:rsidR="00657C99">
              <w:t>gather input and feedback to refine and improve the co-location proposal.</w:t>
            </w:r>
          </w:p>
          <w:p w14:paraId="6582AA94" w14:textId="77777777" w:rsidR="001C5C8A" w:rsidRDefault="001C5C8A" w:rsidP="006C2B32"/>
          <w:p w14:paraId="3246F9F4" w14:textId="1EA59FBE" w:rsidR="00593A34" w:rsidRPr="00C455A7" w:rsidRDefault="00833EE8" w:rsidP="006C2B32">
            <w:r>
              <w:t>Business Continuity Plan</w:t>
            </w:r>
            <w:r w:rsidR="000C44CB">
              <w:t>s</w:t>
            </w:r>
            <w:r>
              <w:t xml:space="preserve"> are ready to be enacted should they be needed.</w:t>
            </w:r>
          </w:p>
        </w:tc>
      </w:tr>
      <w:tr w:rsidR="00F56342" w:rsidRPr="00C455A7" w14:paraId="200A94E6" w14:textId="77777777" w:rsidTr="008248F4">
        <w:trPr>
          <w:trHeight w:val="505"/>
        </w:trPr>
        <w:tc>
          <w:tcPr>
            <w:tcW w:w="3432" w:type="dxa"/>
            <w:gridSpan w:val="2"/>
            <w:shd w:val="clear" w:color="auto" w:fill="D9D9D9" w:themeFill="background1" w:themeFillShade="D9"/>
          </w:tcPr>
          <w:p w14:paraId="0AF7A21E" w14:textId="77777777" w:rsidR="00F56342" w:rsidRDefault="00F56342" w:rsidP="003B25E2">
            <w:pPr>
              <w:rPr>
                <w:b/>
              </w:rPr>
            </w:pPr>
            <w:r>
              <w:rPr>
                <w:b/>
              </w:rPr>
              <w:t>Consultation</w:t>
            </w:r>
          </w:p>
          <w:p w14:paraId="50660E75" w14:textId="2722BBEE" w:rsidR="00F56342" w:rsidRPr="006D4225" w:rsidRDefault="006F50A4" w:rsidP="006F50A4">
            <w:pPr>
              <w:rPr>
                <w:bCs/>
                <w:i/>
                <w:iCs/>
              </w:rPr>
            </w:pPr>
            <w:r w:rsidRPr="006D4225">
              <w:rPr>
                <w:bCs/>
                <w:i/>
                <w:iCs/>
              </w:rPr>
              <w:t>Outline the b</w:t>
            </w:r>
            <w:r w:rsidR="00206B87" w:rsidRPr="006D4225">
              <w:rPr>
                <w:bCs/>
                <w:i/>
                <w:iCs/>
              </w:rPr>
              <w:t>ackground</w:t>
            </w:r>
            <w:r w:rsidRPr="006D4225">
              <w:rPr>
                <w:bCs/>
                <w:i/>
                <w:iCs/>
              </w:rPr>
              <w:t xml:space="preserve"> to the consultation</w:t>
            </w:r>
          </w:p>
          <w:p w14:paraId="31BC4597" w14:textId="16F63A02" w:rsidR="00206B87" w:rsidRPr="006D4225" w:rsidRDefault="00376387" w:rsidP="00AA52F1">
            <w:pPr>
              <w:pStyle w:val="ListParagraph"/>
              <w:numPr>
                <w:ilvl w:val="0"/>
                <w:numId w:val="15"/>
              </w:numPr>
              <w:rPr>
                <w:bCs/>
                <w:i/>
                <w:iCs/>
              </w:rPr>
            </w:pPr>
            <w:r w:rsidRPr="006D4225">
              <w:rPr>
                <w:bCs/>
                <w:i/>
                <w:iCs/>
              </w:rPr>
              <w:t>What are the o</w:t>
            </w:r>
            <w:r w:rsidR="00AA52F1" w:rsidRPr="006D4225">
              <w:rPr>
                <w:bCs/>
                <w:i/>
                <w:iCs/>
              </w:rPr>
              <w:t>bjectives</w:t>
            </w:r>
            <w:r w:rsidRPr="006D4225">
              <w:rPr>
                <w:bCs/>
                <w:i/>
                <w:iCs/>
              </w:rPr>
              <w:t xml:space="preserve"> of the consultation?</w:t>
            </w:r>
          </w:p>
          <w:p w14:paraId="0D7D6844" w14:textId="4A93F4DD" w:rsidR="00AA52F1" w:rsidRPr="00AA52F1" w:rsidRDefault="00AA52F1" w:rsidP="00AA52F1">
            <w:pPr>
              <w:pStyle w:val="ListParagraph"/>
              <w:numPr>
                <w:ilvl w:val="0"/>
                <w:numId w:val="15"/>
              </w:numPr>
              <w:rPr>
                <w:bCs/>
              </w:rPr>
            </w:pPr>
            <w:r w:rsidRPr="006D4225">
              <w:rPr>
                <w:bCs/>
                <w:i/>
                <w:iCs/>
              </w:rPr>
              <w:t>Who needs to be consulted</w:t>
            </w:r>
            <w:r w:rsidR="002308F2" w:rsidRPr="006D4225">
              <w:rPr>
                <w:bCs/>
                <w:i/>
                <w:iCs/>
              </w:rPr>
              <w:t>?</w:t>
            </w:r>
          </w:p>
        </w:tc>
        <w:tc>
          <w:tcPr>
            <w:tcW w:w="7108" w:type="dxa"/>
            <w:gridSpan w:val="3"/>
          </w:tcPr>
          <w:p w14:paraId="0956A960" w14:textId="53CE33D7" w:rsidR="005F5F26" w:rsidRDefault="00374A4B" w:rsidP="006C2B32">
            <w:r>
              <w:t xml:space="preserve">The objective of the consultation process is </w:t>
            </w:r>
            <w:r w:rsidR="0050269D">
              <w:t>to clearly explain the proposal, allow time for consideration, and then embark on consultation with staff and unions to seek feedback and consider any issue</w:t>
            </w:r>
            <w:r w:rsidR="00C03AE5">
              <w:t>s</w:t>
            </w:r>
            <w:r w:rsidR="0050269D">
              <w:t xml:space="preserve"> raised through consultation.</w:t>
            </w:r>
          </w:p>
          <w:p w14:paraId="7428FB87" w14:textId="77777777" w:rsidR="004568C1" w:rsidRDefault="004568C1" w:rsidP="006C2B32"/>
          <w:p w14:paraId="1F15BD44" w14:textId="52EE0321" w:rsidR="00E95EFD" w:rsidRDefault="004568C1" w:rsidP="00AA5399">
            <w:r>
              <w:t xml:space="preserve">All staff in </w:t>
            </w:r>
            <w:r w:rsidR="004D1DA4">
              <w:t>the identified teams</w:t>
            </w:r>
            <w:r>
              <w:t xml:space="preserve"> will be invited to provide input and feedback through the consultation process</w:t>
            </w:r>
            <w:r w:rsidR="00886BC7">
              <w:t>.</w:t>
            </w:r>
            <w:r w:rsidR="00AA5399">
              <w:t xml:space="preserve"> </w:t>
            </w:r>
            <w:r w:rsidR="004E250A">
              <w:t xml:space="preserve">Unions will also be consulted with including CPSU, AEU, </w:t>
            </w:r>
            <w:r w:rsidR="008024B7">
              <w:t>UWU</w:t>
            </w:r>
            <w:r w:rsidR="004E250A">
              <w:t xml:space="preserve"> and HACSU.</w:t>
            </w:r>
          </w:p>
        </w:tc>
      </w:tr>
      <w:tr w:rsidR="006C2B32" w:rsidRPr="00C455A7" w14:paraId="233D0F7C" w14:textId="77777777" w:rsidTr="00632BC9">
        <w:trPr>
          <w:trHeight w:val="961"/>
        </w:trPr>
        <w:tc>
          <w:tcPr>
            <w:tcW w:w="3432" w:type="dxa"/>
            <w:gridSpan w:val="2"/>
            <w:shd w:val="clear" w:color="auto" w:fill="D9D9D9" w:themeFill="background1" w:themeFillShade="D9"/>
          </w:tcPr>
          <w:p w14:paraId="7640DBAA" w14:textId="77777777" w:rsidR="006C2B32" w:rsidRPr="00C455A7" w:rsidRDefault="006C2B32" w:rsidP="003B25E2">
            <w:pPr>
              <w:rPr>
                <w:b/>
              </w:rPr>
            </w:pPr>
            <w:r w:rsidRPr="00C455A7">
              <w:rPr>
                <w:b/>
              </w:rPr>
              <w:t>Proposals for Change – Communication:</w:t>
            </w:r>
          </w:p>
          <w:p w14:paraId="31381001" w14:textId="77777777" w:rsidR="006C2B32" w:rsidRPr="00C455A7" w:rsidRDefault="006C2B32" w:rsidP="000C0411">
            <w:pPr>
              <w:pStyle w:val="ListParagraph"/>
              <w:numPr>
                <w:ilvl w:val="0"/>
                <w:numId w:val="5"/>
              </w:numPr>
              <w:ind w:left="459"/>
              <w:rPr>
                <w:b/>
              </w:rPr>
            </w:pPr>
            <w:r w:rsidRPr="00C455A7">
              <w:t>How will the proposals be communicated to employees?</w:t>
            </w:r>
          </w:p>
          <w:p w14:paraId="4ECACAF5" w14:textId="77777777" w:rsidR="006C2B32" w:rsidRPr="00C455A7" w:rsidRDefault="006C2B32" w:rsidP="000C0411">
            <w:pPr>
              <w:pStyle w:val="ListParagraph"/>
              <w:numPr>
                <w:ilvl w:val="0"/>
                <w:numId w:val="5"/>
              </w:numPr>
              <w:ind w:left="459"/>
              <w:rPr>
                <w:b/>
              </w:rPr>
            </w:pPr>
            <w:r w:rsidRPr="00C455A7">
              <w:t>Identify links to information sources</w:t>
            </w:r>
          </w:p>
          <w:p w14:paraId="54D8F59D" w14:textId="77777777" w:rsidR="006C2B32" w:rsidRPr="00C455A7" w:rsidRDefault="006C2B32" w:rsidP="000C0411">
            <w:pPr>
              <w:pStyle w:val="ListParagraph"/>
              <w:numPr>
                <w:ilvl w:val="0"/>
                <w:numId w:val="5"/>
              </w:numPr>
              <w:ind w:left="459"/>
              <w:rPr>
                <w:b/>
              </w:rPr>
            </w:pPr>
            <w:r w:rsidRPr="00C455A7">
              <w:t>Identify the relevant people leading the change and their contact details</w:t>
            </w:r>
          </w:p>
          <w:p w14:paraId="2253755C" w14:textId="77777777" w:rsidR="006C2B32" w:rsidRPr="00C455A7" w:rsidRDefault="006C2B32" w:rsidP="003525A2"/>
          <w:p w14:paraId="2B6699C5" w14:textId="1520CB2B" w:rsidR="006C2B32" w:rsidRPr="00C455A7" w:rsidRDefault="006C2B32" w:rsidP="003525A2"/>
        </w:tc>
        <w:tc>
          <w:tcPr>
            <w:tcW w:w="7108" w:type="dxa"/>
            <w:gridSpan w:val="3"/>
          </w:tcPr>
          <w:p w14:paraId="007E1E21" w14:textId="1F7324E1" w:rsidR="00745415" w:rsidRDefault="00967C81" w:rsidP="00572AD9">
            <w:r w:rsidRPr="00967C81">
              <w:lastRenderedPageBreak/>
              <w:t xml:space="preserve">The communications with staff affected by the moves </w:t>
            </w:r>
            <w:r>
              <w:t>will</w:t>
            </w:r>
            <w:r w:rsidRPr="00967C81">
              <w:t xml:space="preserve"> include all-staff key messaging as well as tailored key messaging for specific staff group needs and circumstances</w:t>
            </w:r>
            <w:r>
              <w:t xml:space="preserve">. </w:t>
            </w:r>
            <w:r w:rsidR="0001073C">
              <w:t>Where possible, l</w:t>
            </w:r>
            <w:r>
              <w:t>eaders of teams will have discussions with their staff</w:t>
            </w:r>
            <w:r w:rsidR="0001073C">
              <w:t xml:space="preserve"> prior to formal communications being sent to staff. The same key messages will be used to guide these </w:t>
            </w:r>
            <w:r w:rsidR="0038796B">
              <w:t>conversations but</w:t>
            </w:r>
            <w:r w:rsidR="0001073C">
              <w:t xml:space="preserve"> provide the ability to customise and tailor for their area.</w:t>
            </w:r>
          </w:p>
          <w:p w14:paraId="1A322E6A" w14:textId="77777777" w:rsidR="0038796B" w:rsidRDefault="0038796B" w:rsidP="00572AD9"/>
          <w:p w14:paraId="21767B13" w14:textId="4DA51D10" w:rsidR="0038796B" w:rsidRDefault="002E389F" w:rsidP="00572AD9">
            <w:r>
              <w:t xml:space="preserve">The Frequently Asked Questions will contain relevant information and be refined during the </w:t>
            </w:r>
            <w:r w:rsidR="00EC32A8">
              <w:t xml:space="preserve">consultation </w:t>
            </w:r>
            <w:r>
              <w:t>process based on feedback and input.</w:t>
            </w:r>
            <w:r w:rsidR="009F56E6">
              <w:t xml:space="preserve"> These will be regularly updated and communicated to staff.</w:t>
            </w:r>
          </w:p>
          <w:p w14:paraId="2837C273" w14:textId="77777777" w:rsidR="005F5F26" w:rsidRDefault="005F5F26" w:rsidP="00572AD9"/>
          <w:p w14:paraId="3CD06EF2" w14:textId="4F5F98D4" w:rsidR="0087057C" w:rsidRPr="00C455A7" w:rsidRDefault="00801599" w:rsidP="00572AD9">
            <w:r>
              <w:t>Directors and Managers will be asked and supported to lead their staff through th</w:t>
            </w:r>
            <w:r w:rsidR="00971ECC">
              <w:t>e consultation period</w:t>
            </w:r>
            <w:r>
              <w:t xml:space="preserve">. </w:t>
            </w:r>
          </w:p>
        </w:tc>
      </w:tr>
      <w:tr w:rsidR="006C2B32" w:rsidRPr="00C455A7" w14:paraId="6EF4223B" w14:textId="77777777" w:rsidTr="008248F4">
        <w:trPr>
          <w:trHeight w:val="1123"/>
        </w:trPr>
        <w:tc>
          <w:tcPr>
            <w:tcW w:w="3432" w:type="dxa"/>
            <w:gridSpan w:val="2"/>
            <w:shd w:val="clear" w:color="auto" w:fill="D9D9D9" w:themeFill="background1" w:themeFillShade="D9"/>
          </w:tcPr>
          <w:p w14:paraId="7887CC27" w14:textId="77777777" w:rsidR="006C2B32" w:rsidRPr="00C455A7" w:rsidRDefault="006C2B32" w:rsidP="003B25E2">
            <w:pPr>
              <w:rPr>
                <w:b/>
              </w:rPr>
            </w:pPr>
            <w:r w:rsidRPr="00C455A7">
              <w:rPr>
                <w:b/>
              </w:rPr>
              <w:lastRenderedPageBreak/>
              <w:t>Proposals for Change – Employee Support Services:</w:t>
            </w:r>
          </w:p>
          <w:p w14:paraId="0CAFF8A5" w14:textId="77777777" w:rsidR="006C2B32" w:rsidRPr="00C455A7" w:rsidRDefault="006C2B32" w:rsidP="000C0411">
            <w:pPr>
              <w:pStyle w:val="ListParagraph"/>
              <w:numPr>
                <w:ilvl w:val="0"/>
                <w:numId w:val="4"/>
              </w:numPr>
              <w:ind w:left="459"/>
            </w:pPr>
            <w:r w:rsidRPr="00C455A7">
              <w:t>What support will be provided to directly affected employees and to employees generally?</w:t>
            </w:r>
          </w:p>
        </w:tc>
        <w:tc>
          <w:tcPr>
            <w:tcW w:w="7108" w:type="dxa"/>
            <w:gridSpan w:val="3"/>
          </w:tcPr>
          <w:p w14:paraId="0E14D2E0" w14:textId="0B9413A7" w:rsidR="00382173" w:rsidRDefault="00A63976" w:rsidP="00382173">
            <w:r>
              <w:t xml:space="preserve">In addition to the </w:t>
            </w:r>
            <w:r w:rsidR="00382173">
              <w:t xml:space="preserve">information conveyed through </w:t>
            </w:r>
            <w:r>
              <w:t xml:space="preserve">all-staff and </w:t>
            </w:r>
            <w:r w:rsidR="00382173">
              <w:t>tailored</w:t>
            </w:r>
            <w:r>
              <w:t xml:space="preserve"> communication,</w:t>
            </w:r>
            <w:r w:rsidR="00382173">
              <w:t xml:space="preserve"> as well as the FAQs,</w:t>
            </w:r>
            <w:r>
              <w:t xml:space="preserve"> leaders will support their </w:t>
            </w:r>
            <w:r w:rsidR="00382173">
              <w:t xml:space="preserve">teams through the </w:t>
            </w:r>
            <w:r w:rsidR="00971ECC">
              <w:t>consultation process</w:t>
            </w:r>
            <w:r w:rsidR="00382173">
              <w:t xml:space="preserve">. </w:t>
            </w:r>
            <w:r>
              <w:t>Staff will be encouraged to speak with their managers with any questions or concerns.</w:t>
            </w:r>
          </w:p>
          <w:p w14:paraId="71BED004" w14:textId="77777777" w:rsidR="00D753F7" w:rsidRDefault="00D753F7" w:rsidP="00382173"/>
          <w:p w14:paraId="55E28AD0" w14:textId="34119A10" w:rsidR="00D77CA8" w:rsidRPr="00C455A7" w:rsidRDefault="00E55317" w:rsidP="006C2B32">
            <w:r>
              <w:t>The Employee Assistance Program, which is a free</w:t>
            </w:r>
            <w:r w:rsidR="00971ECC">
              <w:t xml:space="preserve"> 24/7</w:t>
            </w:r>
            <w:r>
              <w:t xml:space="preserve"> support service for staff to access, </w:t>
            </w:r>
            <w:r w:rsidR="003276E9">
              <w:t xml:space="preserve">will be </w:t>
            </w:r>
            <w:r w:rsidR="007D542A">
              <w:t xml:space="preserve">available and </w:t>
            </w:r>
            <w:r w:rsidR="003276E9">
              <w:t xml:space="preserve">actively </w:t>
            </w:r>
            <w:r w:rsidR="007D542A">
              <w:t>promoted to DECYP staff.</w:t>
            </w:r>
            <w:r w:rsidR="003276E9">
              <w:t xml:space="preserve"> Additional support through the EAP provider will be sought to have them on-site at </w:t>
            </w:r>
            <w:r w:rsidR="003D1EF8">
              <w:t xml:space="preserve">key </w:t>
            </w:r>
            <w:r w:rsidR="003276E9">
              <w:t>times and readily available to provide direct support.</w:t>
            </w:r>
            <w:r w:rsidR="007D542A">
              <w:t xml:space="preserve"> </w:t>
            </w:r>
          </w:p>
        </w:tc>
      </w:tr>
      <w:tr w:rsidR="006C2B32" w:rsidRPr="00C455A7" w14:paraId="647CFD5D" w14:textId="77777777" w:rsidTr="00A76D23">
        <w:trPr>
          <w:trHeight w:val="463"/>
        </w:trPr>
        <w:tc>
          <w:tcPr>
            <w:tcW w:w="10540" w:type="dxa"/>
            <w:gridSpan w:val="5"/>
            <w:shd w:val="clear" w:color="auto" w:fill="B8CCE4" w:themeFill="accent1" w:themeFillTint="66"/>
          </w:tcPr>
          <w:p w14:paraId="26D21504" w14:textId="77777777" w:rsidR="006C2B32" w:rsidRPr="00C455A7" w:rsidRDefault="006C2B32">
            <w:r w:rsidRPr="00C455A7">
              <w:rPr>
                <w:b/>
              </w:rPr>
              <w:t>Endorsement of Proposal</w:t>
            </w:r>
          </w:p>
        </w:tc>
      </w:tr>
      <w:tr w:rsidR="006C2B32" w:rsidRPr="00C455A7" w14:paraId="5ECF4837" w14:textId="77777777" w:rsidTr="00A76D23">
        <w:trPr>
          <w:trHeight w:val="426"/>
        </w:trPr>
        <w:tc>
          <w:tcPr>
            <w:tcW w:w="10540" w:type="dxa"/>
            <w:gridSpan w:val="5"/>
            <w:shd w:val="clear" w:color="auto" w:fill="D9D9D9" w:themeFill="background1" w:themeFillShade="D9"/>
          </w:tcPr>
          <w:p w14:paraId="2A10BA7E" w14:textId="77777777" w:rsidR="006C2B32" w:rsidRPr="00C455A7" w:rsidRDefault="006C2B32">
            <w:r w:rsidRPr="00C455A7">
              <w:rPr>
                <w:b/>
              </w:rPr>
              <w:t>Group Head</w:t>
            </w:r>
          </w:p>
        </w:tc>
      </w:tr>
      <w:tr w:rsidR="006C2B32" w:rsidRPr="00C455A7" w14:paraId="21394A17" w14:textId="77777777" w:rsidTr="004E7967">
        <w:trPr>
          <w:trHeight w:val="404"/>
        </w:trPr>
        <w:tc>
          <w:tcPr>
            <w:tcW w:w="1378" w:type="dxa"/>
          </w:tcPr>
          <w:p w14:paraId="51125B05" w14:textId="77777777" w:rsidR="006C2B32" w:rsidRPr="00C455A7" w:rsidRDefault="006C2B32">
            <w:pPr>
              <w:rPr>
                <w:b/>
              </w:rPr>
            </w:pPr>
            <w:r w:rsidRPr="00C455A7">
              <w:rPr>
                <w:b/>
              </w:rPr>
              <w:t>Name</w:t>
            </w:r>
          </w:p>
        </w:tc>
        <w:tc>
          <w:tcPr>
            <w:tcW w:w="4463" w:type="dxa"/>
            <w:gridSpan w:val="2"/>
          </w:tcPr>
          <w:p w14:paraId="483A9E04" w14:textId="7FFD6920" w:rsidR="006C2B32" w:rsidRPr="00C455A7" w:rsidRDefault="00F863F1" w:rsidP="004E7967">
            <w:pPr>
              <w:rPr>
                <w:b/>
              </w:rPr>
            </w:pPr>
            <w:r>
              <w:rPr>
                <w:b/>
              </w:rPr>
              <w:t>Kane Salter, Deputy Secretary Business Operations and Support</w:t>
            </w:r>
          </w:p>
        </w:tc>
        <w:tc>
          <w:tcPr>
            <w:tcW w:w="1108" w:type="dxa"/>
          </w:tcPr>
          <w:p w14:paraId="0BCCD912" w14:textId="77777777" w:rsidR="006C2B32" w:rsidRPr="00C455A7" w:rsidRDefault="006C2B32" w:rsidP="004E7967">
            <w:pPr>
              <w:rPr>
                <w:b/>
              </w:rPr>
            </w:pPr>
            <w:r w:rsidRPr="00C455A7">
              <w:rPr>
                <w:b/>
              </w:rPr>
              <w:t>Date</w:t>
            </w:r>
          </w:p>
        </w:tc>
        <w:tc>
          <w:tcPr>
            <w:tcW w:w="3591" w:type="dxa"/>
          </w:tcPr>
          <w:p w14:paraId="4CB0444E" w14:textId="408B8E6A" w:rsidR="006C2B32" w:rsidRPr="00C455A7" w:rsidRDefault="006C2B32" w:rsidP="004E7967">
            <w:pPr>
              <w:rPr>
                <w:b/>
              </w:rPr>
            </w:pPr>
          </w:p>
        </w:tc>
      </w:tr>
      <w:tr w:rsidR="006C2B32" w:rsidRPr="00C455A7" w14:paraId="1C5B6AB9" w14:textId="77777777" w:rsidTr="00A76D23">
        <w:trPr>
          <w:trHeight w:val="423"/>
        </w:trPr>
        <w:tc>
          <w:tcPr>
            <w:tcW w:w="1378" w:type="dxa"/>
          </w:tcPr>
          <w:p w14:paraId="2DDC2175" w14:textId="77777777" w:rsidR="006C2B32" w:rsidRPr="00C455A7" w:rsidRDefault="006C2B32">
            <w:pPr>
              <w:rPr>
                <w:b/>
              </w:rPr>
            </w:pPr>
            <w:r w:rsidRPr="00C455A7">
              <w:rPr>
                <w:b/>
              </w:rPr>
              <w:t>Comments</w:t>
            </w:r>
          </w:p>
        </w:tc>
        <w:tc>
          <w:tcPr>
            <w:tcW w:w="9162" w:type="dxa"/>
            <w:gridSpan w:val="4"/>
          </w:tcPr>
          <w:p w14:paraId="70FC5BD2" w14:textId="23850132" w:rsidR="006C2B32" w:rsidRPr="00151514" w:rsidRDefault="006C2B32" w:rsidP="004E7967">
            <w:pPr>
              <w:rPr>
                <w:bCs/>
              </w:rPr>
            </w:pPr>
          </w:p>
        </w:tc>
      </w:tr>
      <w:tr w:rsidR="006C2B32" w:rsidRPr="00C455A7" w14:paraId="41DAACC9" w14:textId="77777777" w:rsidTr="00A76D23">
        <w:trPr>
          <w:trHeight w:val="407"/>
        </w:trPr>
        <w:tc>
          <w:tcPr>
            <w:tcW w:w="10540" w:type="dxa"/>
            <w:gridSpan w:val="5"/>
            <w:shd w:val="clear" w:color="auto" w:fill="D9D9D9" w:themeFill="background1" w:themeFillShade="D9"/>
          </w:tcPr>
          <w:p w14:paraId="16A48DA5" w14:textId="77777777" w:rsidR="006C2B32" w:rsidRPr="00C455A7" w:rsidRDefault="006C2B32" w:rsidP="004E7967">
            <w:pPr>
              <w:rPr>
                <w:b/>
              </w:rPr>
            </w:pPr>
            <w:r w:rsidRPr="00C455A7">
              <w:rPr>
                <w:b/>
              </w:rPr>
              <w:t>Secretary</w:t>
            </w:r>
          </w:p>
        </w:tc>
      </w:tr>
      <w:tr w:rsidR="006C2B32" w:rsidRPr="00C455A7" w14:paraId="37FDB513" w14:textId="77777777" w:rsidTr="00A76D23">
        <w:trPr>
          <w:trHeight w:val="427"/>
        </w:trPr>
        <w:tc>
          <w:tcPr>
            <w:tcW w:w="1378" w:type="dxa"/>
          </w:tcPr>
          <w:p w14:paraId="7D237D8C" w14:textId="77777777" w:rsidR="006C2B32" w:rsidRPr="00C455A7" w:rsidRDefault="006C2B32">
            <w:pPr>
              <w:rPr>
                <w:b/>
              </w:rPr>
            </w:pPr>
            <w:r w:rsidRPr="00C455A7">
              <w:rPr>
                <w:b/>
              </w:rPr>
              <w:t>Comments</w:t>
            </w:r>
          </w:p>
        </w:tc>
        <w:tc>
          <w:tcPr>
            <w:tcW w:w="9162" w:type="dxa"/>
            <w:gridSpan w:val="4"/>
          </w:tcPr>
          <w:p w14:paraId="55945E97" w14:textId="77777777" w:rsidR="006C2B32" w:rsidRPr="00C455A7" w:rsidRDefault="006C2B32" w:rsidP="004E7967">
            <w:pPr>
              <w:rPr>
                <w:b/>
              </w:rPr>
            </w:pPr>
          </w:p>
        </w:tc>
      </w:tr>
      <w:tr w:rsidR="006C2B32" w:rsidRPr="00C455A7" w14:paraId="5F77A63A" w14:textId="77777777" w:rsidTr="00A76D23">
        <w:trPr>
          <w:trHeight w:val="404"/>
        </w:trPr>
        <w:tc>
          <w:tcPr>
            <w:tcW w:w="1378" w:type="dxa"/>
          </w:tcPr>
          <w:p w14:paraId="1B187B29" w14:textId="77777777" w:rsidR="006C2B32" w:rsidRPr="00C455A7" w:rsidRDefault="006C2B32">
            <w:pPr>
              <w:rPr>
                <w:b/>
              </w:rPr>
            </w:pPr>
            <w:r w:rsidRPr="00C455A7">
              <w:rPr>
                <w:b/>
              </w:rPr>
              <w:t>Date</w:t>
            </w:r>
          </w:p>
        </w:tc>
        <w:tc>
          <w:tcPr>
            <w:tcW w:w="9162" w:type="dxa"/>
            <w:gridSpan w:val="4"/>
          </w:tcPr>
          <w:p w14:paraId="1539A4E5" w14:textId="77777777" w:rsidR="006C2B32" w:rsidRPr="00C455A7" w:rsidRDefault="006C2B32" w:rsidP="004E7967">
            <w:pPr>
              <w:rPr>
                <w:b/>
              </w:rPr>
            </w:pPr>
          </w:p>
        </w:tc>
      </w:tr>
      <w:tr w:rsidR="006C2B32" w:rsidRPr="00C455A7" w14:paraId="51FD0517" w14:textId="77777777" w:rsidTr="00A76D23">
        <w:trPr>
          <w:trHeight w:val="404"/>
        </w:trPr>
        <w:tc>
          <w:tcPr>
            <w:tcW w:w="10540" w:type="dxa"/>
            <w:gridSpan w:val="5"/>
            <w:shd w:val="clear" w:color="auto" w:fill="D9D9D9" w:themeFill="background1" w:themeFillShade="D9"/>
          </w:tcPr>
          <w:p w14:paraId="0C30F263" w14:textId="77777777" w:rsidR="006C2B32" w:rsidRPr="00C455A7" w:rsidRDefault="006C2B32" w:rsidP="004E7967">
            <w:pPr>
              <w:rPr>
                <w:b/>
              </w:rPr>
            </w:pPr>
            <w:r w:rsidRPr="00C455A7">
              <w:rPr>
                <w:b/>
              </w:rPr>
              <w:t>WHAT NEXT?</w:t>
            </w:r>
          </w:p>
          <w:p w14:paraId="4CCF8858" w14:textId="57055BE5" w:rsidR="006C2B32" w:rsidRPr="00C455A7" w:rsidRDefault="006C2B32" w:rsidP="00017134">
            <w:pPr>
              <w:pStyle w:val="ListParagraph"/>
              <w:numPr>
                <w:ilvl w:val="0"/>
                <w:numId w:val="8"/>
              </w:numPr>
              <w:ind w:left="459"/>
              <w:rPr>
                <w:sz w:val="20"/>
                <w:szCs w:val="20"/>
              </w:rPr>
            </w:pPr>
            <w:r w:rsidRPr="00C455A7">
              <w:rPr>
                <w:sz w:val="20"/>
                <w:szCs w:val="20"/>
              </w:rPr>
              <w:t xml:space="preserve">The endorsed </w:t>
            </w:r>
            <w:r w:rsidRPr="00C455A7">
              <w:rPr>
                <w:i/>
                <w:sz w:val="20"/>
                <w:szCs w:val="20"/>
              </w:rPr>
              <w:t>Consultation and Communication Plan</w:t>
            </w:r>
            <w:r w:rsidRPr="00C455A7">
              <w:rPr>
                <w:sz w:val="20"/>
                <w:szCs w:val="20"/>
              </w:rPr>
              <w:t xml:space="preserve"> and </w:t>
            </w:r>
            <w:r w:rsidRPr="00C455A7">
              <w:rPr>
                <w:i/>
                <w:sz w:val="20"/>
                <w:szCs w:val="20"/>
              </w:rPr>
              <w:t>Change Proposal</w:t>
            </w:r>
            <w:r w:rsidRPr="00C455A7">
              <w:rPr>
                <w:sz w:val="20"/>
                <w:szCs w:val="20"/>
              </w:rPr>
              <w:t xml:space="preserve"> are to be forwarded to </w:t>
            </w:r>
            <w:hyperlink r:id="rId7" w:history="1">
              <w:r w:rsidR="00B17392" w:rsidRPr="00B17392">
                <w:rPr>
                  <w:rStyle w:val="Hyperlink"/>
                  <w:sz w:val="20"/>
                  <w:szCs w:val="20"/>
                </w:rPr>
                <w:t>workplace.relations@decyp.tas.gov.au</w:t>
              </w:r>
            </w:hyperlink>
            <w:r w:rsidR="00B17392">
              <w:rPr>
                <w:sz w:val="20"/>
                <w:szCs w:val="20"/>
              </w:rPr>
              <w:t xml:space="preserve"> </w:t>
            </w:r>
            <w:r w:rsidR="003F4945" w:rsidRPr="00C455A7">
              <w:rPr>
                <w:sz w:val="20"/>
              </w:rPr>
              <w:t xml:space="preserve">for placement on the DoE </w:t>
            </w:r>
            <w:r w:rsidRPr="00C455A7">
              <w:rPr>
                <w:sz w:val="20"/>
              </w:rPr>
              <w:t>Change Register.</w:t>
            </w:r>
          </w:p>
          <w:p w14:paraId="50AE83A4" w14:textId="6C69A7B7" w:rsidR="006C2B32" w:rsidRPr="00C455A7" w:rsidRDefault="006C2B32" w:rsidP="006D73B2">
            <w:pPr>
              <w:pStyle w:val="ListParagraph"/>
              <w:numPr>
                <w:ilvl w:val="0"/>
                <w:numId w:val="8"/>
              </w:numPr>
              <w:ind w:left="459"/>
            </w:pPr>
            <w:r w:rsidRPr="00C455A7">
              <w:rPr>
                <w:sz w:val="20"/>
              </w:rPr>
              <w:t xml:space="preserve">The Change Register Summary Template is to be completed and forwarded to </w:t>
            </w:r>
            <w:r w:rsidR="006D73B2" w:rsidRPr="00C455A7">
              <w:rPr>
                <w:sz w:val="20"/>
              </w:rPr>
              <w:t>Workplace Relations</w:t>
            </w:r>
            <w:r w:rsidRPr="00C455A7">
              <w:rPr>
                <w:sz w:val="20"/>
              </w:rPr>
              <w:t xml:space="preserve"> at </w:t>
            </w:r>
            <w:hyperlink r:id="rId8" w:history="1">
              <w:r w:rsidR="00B17392">
                <w:rPr>
                  <w:rStyle w:val="Hyperlink"/>
                  <w:sz w:val="20"/>
                </w:rPr>
                <w:t>workplace.relations@decyp.tas.gov.au</w:t>
              </w:r>
            </w:hyperlink>
            <w:r w:rsidRPr="00C455A7">
              <w:rPr>
                <w:sz w:val="20"/>
              </w:rPr>
              <w:t xml:space="preserve"> at the end of the process</w:t>
            </w:r>
            <w:r w:rsidRPr="00C455A7">
              <w:t xml:space="preserve">. </w:t>
            </w:r>
          </w:p>
        </w:tc>
      </w:tr>
    </w:tbl>
    <w:p w14:paraId="72B92D60" w14:textId="77777777" w:rsidR="00772A01" w:rsidRPr="00C455A7" w:rsidRDefault="00772A01"/>
    <w:p w14:paraId="450EBCE7" w14:textId="77777777" w:rsidR="00772A01" w:rsidRPr="00C455A7" w:rsidRDefault="00772A01" w:rsidP="00B45C46"/>
    <w:sectPr w:rsidR="00772A01" w:rsidRPr="00C455A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95DBE" w14:textId="77777777" w:rsidR="005853A4" w:rsidRDefault="005853A4" w:rsidP="00772A01">
      <w:pPr>
        <w:spacing w:after="0" w:line="240" w:lineRule="auto"/>
      </w:pPr>
      <w:r>
        <w:separator/>
      </w:r>
    </w:p>
  </w:endnote>
  <w:endnote w:type="continuationSeparator" w:id="0">
    <w:p w14:paraId="0DC75FAA" w14:textId="77777777" w:rsidR="005853A4" w:rsidRDefault="005853A4" w:rsidP="00772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38272" w14:textId="01E9CE48" w:rsidR="00B45C46" w:rsidRDefault="00B45C46" w:rsidP="00B45C46">
    <w:pPr>
      <w:pStyle w:val="Footer"/>
      <w:rPr>
        <w:i/>
        <w:sz w:val="18"/>
        <w:szCs w:val="18"/>
      </w:rPr>
    </w:pPr>
    <w:r>
      <w:rPr>
        <w:i/>
        <w:sz w:val="18"/>
        <w:szCs w:val="18"/>
      </w:rPr>
      <w:t>Version:</w:t>
    </w:r>
    <w:r w:rsidR="00E062A1">
      <w:rPr>
        <w:i/>
        <w:sz w:val="18"/>
        <w:szCs w:val="18"/>
      </w:rPr>
      <w:t xml:space="preserve"> </w:t>
    </w:r>
    <w:r w:rsidR="0088215D">
      <w:rPr>
        <w:i/>
        <w:sz w:val="18"/>
        <w:szCs w:val="18"/>
      </w:rPr>
      <w:t>1</w:t>
    </w:r>
    <w:r w:rsidR="00E062A1">
      <w:rPr>
        <w:i/>
        <w:sz w:val="18"/>
        <w:szCs w:val="18"/>
      </w:rPr>
      <w:t xml:space="preserve"> </w:t>
    </w:r>
    <w:r w:rsidR="0088215D">
      <w:rPr>
        <w:i/>
        <w:sz w:val="18"/>
        <w:szCs w:val="18"/>
      </w:rPr>
      <w:t>25</w:t>
    </w:r>
    <w:r w:rsidR="00E062A1">
      <w:rPr>
        <w:i/>
        <w:sz w:val="18"/>
        <w:szCs w:val="18"/>
      </w:rPr>
      <w:t>/</w:t>
    </w:r>
    <w:r w:rsidR="0088215D">
      <w:rPr>
        <w:i/>
        <w:sz w:val="18"/>
        <w:szCs w:val="18"/>
      </w:rPr>
      <w:t>05</w:t>
    </w:r>
    <w:r w:rsidR="00E062A1">
      <w:rPr>
        <w:i/>
        <w:sz w:val="18"/>
        <w:szCs w:val="18"/>
      </w:rPr>
      <w:t>/202</w:t>
    </w:r>
    <w:r w:rsidR="0088215D">
      <w:rPr>
        <w:i/>
        <w:sz w:val="18"/>
        <w:szCs w:val="18"/>
      </w:rPr>
      <w:t>3</w:t>
    </w:r>
  </w:p>
  <w:p w14:paraId="2870328C" w14:textId="77777777" w:rsidR="00B45C46" w:rsidRDefault="00B45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4FDC7" w14:textId="77777777" w:rsidR="005853A4" w:rsidRDefault="005853A4" w:rsidP="00772A01">
      <w:pPr>
        <w:spacing w:after="0" w:line="240" w:lineRule="auto"/>
      </w:pPr>
      <w:r>
        <w:separator/>
      </w:r>
    </w:p>
  </w:footnote>
  <w:footnote w:type="continuationSeparator" w:id="0">
    <w:p w14:paraId="7F9442E3" w14:textId="77777777" w:rsidR="005853A4" w:rsidRDefault="005853A4" w:rsidP="00772A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39F43" w14:textId="1A58AF6A" w:rsidR="00772A01" w:rsidRDefault="00772A01" w:rsidP="00772A01">
    <w:pPr>
      <w:pStyle w:val="Header"/>
      <w:tabs>
        <w:tab w:val="clear" w:pos="9026"/>
        <w:tab w:val="right" w:pos="8789"/>
      </w:tabs>
      <w:ind w:left="-851" w:right="-472"/>
      <w:rPr>
        <w:rFonts w:eastAsia="Calibri" w:cs="Times New Roman"/>
        <w:b/>
        <w:sz w:val="36"/>
        <w:szCs w:val="36"/>
      </w:rPr>
    </w:pPr>
    <w:r>
      <w:rPr>
        <w:rFonts w:eastAsia="Calibri" w:cs="Times New Roman"/>
        <w:b/>
        <w:noProof/>
        <w:sz w:val="36"/>
        <w:szCs w:val="36"/>
        <w:lang w:eastAsia="en-AU"/>
      </w:rPr>
      <w:drawing>
        <wp:anchor distT="0" distB="0" distL="114300" distR="114300" simplePos="0" relativeHeight="251659264" behindDoc="1" locked="0" layoutInCell="1" allowOverlap="1" wp14:anchorId="6622AB16" wp14:editId="5B0A5564">
          <wp:simplePos x="0" y="0"/>
          <wp:positionH relativeFrom="margin">
            <wp:posOffset>5407660</wp:posOffset>
          </wp:positionH>
          <wp:positionV relativeFrom="margin">
            <wp:posOffset>-1009015</wp:posOffset>
          </wp:positionV>
          <wp:extent cx="857250" cy="793750"/>
          <wp:effectExtent l="0" t="0" r="0" b="6350"/>
          <wp:wrapTight wrapText="bothSides">
            <wp:wrapPolygon edited="0">
              <wp:start x="0" y="0"/>
              <wp:lineTo x="0" y="21254"/>
              <wp:lineTo x="21120" y="21254"/>
              <wp:lineTo x="2112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079_Tas_Gov_no_tag_rgb_vert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7250" cy="793750"/>
                  </a:xfrm>
                  <a:prstGeom prst="rect">
                    <a:avLst/>
                  </a:prstGeom>
                </pic:spPr>
              </pic:pic>
            </a:graphicData>
          </a:graphic>
        </wp:anchor>
      </w:drawing>
    </w:r>
    <w:r w:rsidR="004D11E3">
      <w:rPr>
        <w:rFonts w:eastAsia="Calibri" w:cs="Times New Roman"/>
        <w:b/>
        <w:sz w:val="36"/>
        <w:szCs w:val="36"/>
      </w:rPr>
      <w:t xml:space="preserve">Consultation and </w:t>
    </w:r>
    <w:r>
      <w:rPr>
        <w:rFonts w:eastAsia="Calibri" w:cs="Times New Roman"/>
        <w:b/>
        <w:sz w:val="36"/>
        <w:szCs w:val="36"/>
      </w:rPr>
      <w:t>Change Proposal</w:t>
    </w:r>
  </w:p>
  <w:p w14:paraId="1B01D710" w14:textId="2D26564F" w:rsidR="00772A01" w:rsidRDefault="00772A01" w:rsidP="00772A01">
    <w:pPr>
      <w:pStyle w:val="Header"/>
      <w:tabs>
        <w:tab w:val="clear" w:pos="9026"/>
        <w:tab w:val="right" w:pos="10065"/>
      </w:tabs>
      <w:ind w:left="-851"/>
      <w:rPr>
        <w:rFonts w:eastAsia="Calibri" w:cs="Times New Roman"/>
      </w:rPr>
    </w:pPr>
    <w:r w:rsidRPr="00890492">
      <w:rPr>
        <w:rFonts w:eastAsia="Calibri" w:cs="Times New Roman"/>
      </w:rPr>
      <w:t xml:space="preserve">Department </w:t>
    </w:r>
    <w:r w:rsidR="00C455A7">
      <w:rPr>
        <w:rFonts w:eastAsia="Calibri" w:cs="Times New Roman"/>
      </w:rPr>
      <w:t>for</w:t>
    </w:r>
    <w:r w:rsidRPr="00890492">
      <w:rPr>
        <w:rFonts w:eastAsia="Calibri" w:cs="Times New Roman"/>
      </w:rPr>
      <w:t xml:space="preserve"> </w:t>
    </w:r>
    <w:r w:rsidR="003F4945">
      <w:rPr>
        <w:rFonts w:eastAsia="Calibri" w:cs="Times New Roman"/>
      </w:rPr>
      <w:t>Education</w:t>
    </w:r>
    <w:r w:rsidR="00C455A7">
      <w:rPr>
        <w:rFonts w:eastAsia="Calibri" w:cs="Times New Roman"/>
      </w:rPr>
      <w:t>, Children and Young People</w:t>
    </w:r>
  </w:p>
  <w:p w14:paraId="30A42EE5" w14:textId="77777777" w:rsidR="00B23C40" w:rsidRDefault="00B23C40" w:rsidP="00772A01">
    <w:pPr>
      <w:pStyle w:val="Header"/>
      <w:tabs>
        <w:tab w:val="clear" w:pos="9026"/>
        <w:tab w:val="right" w:pos="10065"/>
      </w:tabs>
      <w:ind w:left="-851"/>
      <w:rPr>
        <w:rFonts w:eastAsia="Calibri" w:cs="Times New Roman"/>
      </w:rPr>
    </w:pPr>
  </w:p>
  <w:p w14:paraId="25A7D5DE" w14:textId="77777777" w:rsidR="00772A01" w:rsidRDefault="00772A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F210C"/>
    <w:multiLevelType w:val="hybridMultilevel"/>
    <w:tmpl w:val="DD42B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773CB4"/>
    <w:multiLevelType w:val="hybridMultilevel"/>
    <w:tmpl w:val="20B05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C33B42"/>
    <w:multiLevelType w:val="hybridMultilevel"/>
    <w:tmpl w:val="04F8E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DE6E27"/>
    <w:multiLevelType w:val="hybridMultilevel"/>
    <w:tmpl w:val="60D4F8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DCC56B0"/>
    <w:multiLevelType w:val="hybridMultilevel"/>
    <w:tmpl w:val="EF842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6F3AE7"/>
    <w:multiLevelType w:val="hybridMultilevel"/>
    <w:tmpl w:val="C3B485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7CB6155"/>
    <w:multiLevelType w:val="hybridMultilevel"/>
    <w:tmpl w:val="A796C6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7D01B4F"/>
    <w:multiLevelType w:val="hybridMultilevel"/>
    <w:tmpl w:val="C524A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F92C4E"/>
    <w:multiLevelType w:val="hybridMultilevel"/>
    <w:tmpl w:val="B5949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926BDB"/>
    <w:multiLevelType w:val="hybridMultilevel"/>
    <w:tmpl w:val="18D02A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A587DFA"/>
    <w:multiLevelType w:val="hybridMultilevel"/>
    <w:tmpl w:val="89A623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39F3267"/>
    <w:multiLevelType w:val="hybridMultilevel"/>
    <w:tmpl w:val="982C5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6CF05FF"/>
    <w:multiLevelType w:val="hybridMultilevel"/>
    <w:tmpl w:val="E342E762"/>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74408AA"/>
    <w:multiLevelType w:val="hybridMultilevel"/>
    <w:tmpl w:val="28525A1E"/>
    <w:lvl w:ilvl="0" w:tplc="339405EE">
      <w:start w:val="3"/>
      <w:numFmt w:val="bullet"/>
      <w:lvlText w:val="-"/>
      <w:lvlJc w:val="left"/>
      <w:pPr>
        <w:ind w:left="360" w:hanging="360"/>
      </w:pPr>
      <w:rPr>
        <w:rFonts w:ascii="Gill Sans MT" w:eastAsiaTheme="minorHAnsi" w:hAnsi="Gill Sans MT" w:cs="Calibri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A92557F"/>
    <w:multiLevelType w:val="hybridMultilevel"/>
    <w:tmpl w:val="4BAC6D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CEC01F7"/>
    <w:multiLevelType w:val="hybridMultilevel"/>
    <w:tmpl w:val="1D327D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EA40006"/>
    <w:multiLevelType w:val="hybridMultilevel"/>
    <w:tmpl w:val="0E1E19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4A54A38"/>
    <w:multiLevelType w:val="hybridMultilevel"/>
    <w:tmpl w:val="053292E8"/>
    <w:lvl w:ilvl="0" w:tplc="339405EE">
      <w:start w:val="3"/>
      <w:numFmt w:val="bullet"/>
      <w:lvlText w:val="-"/>
      <w:lvlJc w:val="left"/>
      <w:pPr>
        <w:ind w:left="720" w:hanging="360"/>
      </w:pPr>
      <w:rPr>
        <w:rFonts w:ascii="Gill Sans MT" w:eastAsiaTheme="minorHAnsi" w:hAnsi="Gill Sans M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A1A3D63"/>
    <w:multiLevelType w:val="hybridMultilevel"/>
    <w:tmpl w:val="94227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BE57B6E"/>
    <w:multiLevelType w:val="hybridMultilevel"/>
    <w:tmpl w:val="08FC2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CCC24DA"/>
    <w:multiLevelType w:val="hybridMultilevel"/>
    <w:tmpl w:val="0C0A5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E644658"/>
    <w:multiLevelType w:val="hybridMultilevel"/>
    <w:tmpl w:val="D8A81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1ED6CE5"/>
    <w:multiLevelType w:val="hybridMultilevel"/>
    <w:tmpl w:val="92BE22A6"/>
    <w:lvl w:ilvl="0" w:tplc="E264A66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4192841"/>
    <w:multiLevelType w:val="hybridMultilevel"/>
    <w:tmpl w:val="EE18CD3E"/>
    <w:lvl w:ilvl="0" w:tplc="339405EE">
      <w:start w:val="3"/>
      <w:numFmt w:val="bullet"/>
      <w:lvlText w:val="-"/>
      <w:lvlJc w:val="left"/>
      <w:pPr>
        <w:ind w:left="720" w:hanging="360"/>
      </w:pPr>
      <w:rPr>
        <w:rFonts w:ascii="Gill Sans MT" w:eastAsiaTheme="minorHAnsi" w:hAnsi="Gill Sans M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E0903AE"/>
    <w:multiLevelType w:val="hybridMultilevel"/>
    <w:tmpl w:val="BF56DA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27188350">
    <w:abstractNumId w:val="4"/>
  </w:num>
  <w:num w:numId="2" w16cid:durableId="1393389089">
    <w:abstractNumId w:val="2"/>
  </w:num>
  <w:num w:numId="3" w16cid:durableId="1767845084">
    <w:abstractNumId w:val="0"/>
  </w:num>
  <w:num w:numId="4" w16cid:durableId="617104018">
    <w:abstractNumId w:val="20"/>
  </w:num>
  <w:num w:numId="5" w16cid:durableId="1784572438">
    <w:abstractNumId w:val="21"/>
  </w:num>
  <w:num w:numId="6" w16cid:durableId="1471097193">
    <w:abstractNumId w:val="7"/>
  </w:num>
  <w:num w:numId="7" w16cid:durableId="94909900">
    <w:abstractNumId w:val="1"/>
  </w:num>
  <w:num w:numId="8" w16cid:durableId="827094722">
    <w:abstractNumId w:val="22"/>
  </w:num>
  <w:num w:numId="9" w16cid:durableId="819809259">
    <w:abstractNumId w:val="11"/>
  </w:num>
  <w:num w:numId="10" w16cid:durableId="104620575">
    <w:abstractNumId w:val="23"/>
  </w:num>
  <w:num w:numId="11" w16cid:durableId="46034309">
    <w:abstractNumId w:val="13"/>
  </w:num>
  <w:num w:numId="12" w16cid:durableId="1950626046">
    <w:abstractNumId w:val="17"/>
  </w:num>
  <w:num w:numId="13" w16cid:durableId="1672486340">
    <w:abstractNumId w:val="6"/>
  </w:num>
  <w:num w:numId="14" w16cid:durableId="2066099587">
    <w:abstractNumId w:val="10"/>
  </w:num>
  <w:num w:numId="15" w16cid:durableId="1616207019">
    <w:abstractNumId w:val="16"/>
  </w:num>
  <w:num w:numId="16" w16cid:durableId="796726502">
    <w:abstractNumId w:val="15"/>
  </w:num>
  <w:num w:numId="17" w16cid:durableId="639843615">
    <w:abstractNumId w:val="3"/>
  </w:num>
  <w:num w:numId="18" w16cid:durableId="239413568">
    <w:abstractNumId w:val="9"/>
  </w:num>
  <w:num w:numId="19" w16cid:durableId="398751725">
    <w:abstractNumId w:val="5"/>
  </w:num>
  <w:num w:numId="20" w16cid:durableId="1542981097">
    <w:abstractNumId w:val="24"/>
  </w:num>
  <w:num w:numId="21" w16cid:durableId="118452706">
    <w:abstractNumId w:val="8"/>
  </w:num>
  <w:num w:numId="22" w16cid:durableId="79570341">
    <w:abstractNumId w:val="14"/>
  </w:num>
  <w:num w:numId="23" w16cid:durableId="2049596690">
    <w:abstractNumId w:val="12"/>
  </w:num>
  <w:num w:numId="24" w16cid:durableId="1555265716">
    <w:abstractNumId w:val="18"/>
  </w:num>
  <w:num w:numId="25" w16cid:durableId="2828841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A01"/>
    <w:rsid w:val="00005987"/>
    <w:rsid w:val="0001073C"/>
    <w:rsid w:val="00017134"/>
    <w:rsid w:val="000216A3"/>
    <w:rsid w:val="00034090"/>
    <w:rsid w:val="000343C9"/>
    <w:rsid w:val="000353C1"/>
    <w:rsid w:val="00035C4F"/>
    <w:rsid w:val="00036F97"/>
    <w:rsid w:val="0004044A"/>
    <w:rsid w:val="000409DF"/>
    <w:rsid w:val="00052325"/>
    <w:rsid w:val="00052D23"/>
    <w:rsid w:val="00052F3B"/>
    <w:rsid w:val="0005505B"/>
    <w:rsid w:val="0006237A"/>
    <w:rsid w:val="00074F2A"/>
    <w:rsid w:val="00075523"/>
    <w:rsid w:val="00082FA5"/>
    <w:rsid w:val="000859F8"/>
    <w:rsid w:val="000921D6"/>
    <w:rsid w:val="00097FEF"/>
    <w:rsid w:val="000A0831"/>
    <w:rsid w:val="000A32DB"/>
    <w:rsid w:val="000A4FA6"/>
    <w:rsid w:val="000A7938"/>
    <w:rsid w:val="000C0411"/>
    <w:rsid w:val="000C3E35"/>
    <w:rsid w:val="000C44CB"/>
    <w:rsid w:val="000D0C4E"/>
    <w:rsid w:val="000D15C5"/>
    <w:rsid w:val="000D3028"/>
    <w:rsid w:val="000D5038"/>
    <w:rsid w:val="000F0D2A"/>
    <w:rsid w:val="00104E80"/>
    <w:rsid w:val="0011251F"/>
    <w:rsid w:val="00112FA7"/>
    <w:rsid w:val="001138A9"/>
    <w:rsid w:val="00126FEA"/>
    <w:rsid w:val="001315F9"/>
    <w:rsid w:val="001354EA"/>
    <w:rsid w:val="00136EF3"/>
    <w:rsid w:val="00136FA2"/>
    <w:rsid w:val="0013798C"/>
    <w:rsid w:val="0014080D"/>
    <w:rsid w:val="00151514"/>
    <w:rsid w:val="001606E6"/>
    <w:rsid w:val="00160DE0"/>
    <w:rsid w:val="00161F3A"/>
    <w:rsid w:val="0016573A"/>
    <w:rsid w:val="0017373A"/>
    <w:rsid w:val="00176058"/>
    <w:rsid w:val="001907E7"/>
    <w:rsid w:val="00191805"/>
    <w:rsid w:val="00195B10"/>
    <w:rsid w:val="001B0BA8"/>
    <w:rsid w:val="001B564E"/>
    <w:rsid w:val="001C08CA"/>
    <w:rsid w:val="001C0BC6"/>
    <w:rsid w:val="001C250F"/>
    <w:rsid w:val="001C5C8A"/>
    <w:rsid w:val="001D785F"/>
    <w:rsid w:val="001E145F"/>
    <w:rsid w:val="001E31D0"/>
    <w:rsid w:val="001E6FDD"/>
    <w:rsid w:val="001F658C"/>
    <w:rsid w:val="002013E5"/>
    <w:rsid w:val="00206B87"/>
    <w:rsid w:val="002209A2"/>
    <w:rsid w:val="00222EB9"/>
    <w:rsid w:val="0022393C"/>
    <w:rsid w:val="002308F2"/>
    <w:rsid w:val="00234840"/>
    <w:rsid w:val="00252CFA"/>
    <w:rsid w:val="00253D55"/>
    <w:rsid w:val="00255DD8"/>
    <w:rsid w:val="00261AEB"/>
    <w:rsid w:val="00275E8A"/>
    <w:rsid w:val="002B7B33"/>
    <w:rsid w:val="002C0950"/>
    <w:rsid w:val="002C357A"/>
    <w:rsid w:val="002C5BE3"/>
    <w:rsid w:val="002C603A"/>
    <w:rsid w:val="002D409C"/>
    <w:rsid w:val="002D5B32"/>
    <w:rsid w:val="002E389F"/>
    <w:rsid w:val="002E3CF9"/>
    <w:rsid w:val="002E5995"/>
    <w:rsid w:val="002F1A9E"/>
    <w:rsid w:val="003057E7"/>
    <w:rsid w:val="003276E9"/>
    <w:rsid w:val="00334FCC"/>
    <w:rsid w:val="00343242"/>
    <w:rsid w:val="003525A2"/>
    <w:rsid w:val="00352FB3"/>
    <w:rsid w:val="0037189A"/>
    <w:rsid w:val="00374A4B"/>
    <w:rsid w:val="0037637B"/>
    <w:rsid w:val="00376387"/>
    <w:rsid w:val="0037716F"/>
    <w:rsid w:val="003808F1"/>
    <w:rsid w:val="00382173"/>
    <w:rsid w:val="00386601"/>
    <w:rsid w:val="0038796B"/>
    <w:rsid w:val="003A1606"/>
    <w:rsid w:val="003A485B"/>
    <w:rsid w:val="003B25E2"/>
    <w:rsid w:val="003B3275"/>
    <w:rsid w:val="003B5CBD"/>
    <w:rsid w:val="003D1EF8"/>
    <w:rsid w:val="003D4B8F"/>
    <w:rsid w:val="003D4F8F"/>
    <w:rsid w:val="003D6430"/>
    <w:rsid w:val="003D7B80"/>
    <w:rsid w:val="003E0B34"/>
    <w:rsid w:val="003F4945"/>
    <w:rsid w:val="0040085C"/>
    <w:rsid w:val="0040554B"/>
    <w:rsid w:val="00406DFA"/>
    <w:rsid w:val="004265F9"/>
    <w:rsid w:val="00432E20"/>
    <w:rsid w:val="00434461"/>
    <w:rsid w:val="00437D9A"/>
    <w:rsid w:val="00442E50"/>
    <w:rsid w:val="00447216"/>
    <w:rsid w:val="004568C1"/>
    <w:rsid w:val="00456F54"/>
    <w:rsid w:val="0046513C"/>
    <w:rsid w:val="00475F5B"/>
    <w:rsid w:val="00493051"/>
    <w:rsid w:val="0049521B"/>
    <w:rsid w:val="004A305C"/>
    <w:rsid w:val="004A6D56"/>
    <w:rsid w:val="004B0DE3"/>
    <w:rsid w:val="004B1729"/>
    <w:rsid w:val="004B55F2"/>
    <w:rsid w:val="004B6353"/>
    <w:rsid w:val="004C49D6"/>
    <w:rsid w:val="004C75FB"/>
    <w:rsid w:val="004D11E3"/>
    <w:rsid w:val="004D1DA4"/>
    <w:rsid w:val="004E1F20"/>
    <w:rsid w:val="004E250A"/>
    <w:rsid w:val="004E595B"/>
    <w:rsid w:val="004E7967"/>
    <w:rsid w:val="00500FCC"/>
    <w:rsid w:val="0050269D"/>
    <w:rsid w:val="00506F9C"/>
    <w:rsid w:val="00515D89"/>
    <w:rsid w:val="0052479E"/>
    <w:rsid w:val="005331B4"/>
    <w:rsid w:val="00541DD2"/>
    <w:rsid w:val="00543AE0"/>
    <w:rsid w:val="00543B77"/>
    <w:rsid w:val="00543C8F"/>
    <w:rsid w:val="005474A5"/>
    <w:rsid w:val="0056169F"/>
    <w:rsid w:val="00562D4A"/>
    <w:rsid w:val="00570FFC"/>
    <w:rsid w:val="00572AD9"/>
    <w:rsid w:val="00575F60"/>
    <w:rsid w:val="005774EF"/>
    <w:rsid w:val="005853A4"/>
    <w:rsid w:val="00593A34"/>
    <w:rsid w:val="00593AB9"/>
    <w:rsid w:val="005A3ECF"/>
    <w:rsid w:val="005C7893"/>
    <w:rsid w:val="005C7E92"/>
    <w:rsid w:val="005F4EEA"/>
    <w:rsid w:val="005F5740"/>
    <w:rsid w:val="005F5F26"/>
    <w:rsid w:val="00612EE7"/>
    <w:rsid w:val="00622086"/>
    <w:rsid w:val="00624ECD"/>
    <w:rsid w:val="00632BC9"/>
    <w:rsid w:val="00636E15"/>
    <w:rsid w:val="0064031A"/>
    <w:rsid w:val="00641E03"/>
    <w:rsid w:val="00657C99"/>
    <w:rsid w:val="00663910"/>
    <w:rsid w:val="00665E49"/>
    <w:rsid w:val="006661CE"/>
    <w:rsid w:val="0067721C"/>
    <w:rsid w:val="00677E38"/>
    <w:rsid w:val="00690B65"/>
    <w:rsid w:val="00691172"/>
    <w:rsid w:val="006A3672"/>
    <w:rsid w:val="006A7293"/>
    <w:rsid w:val="006B347D"/>
    <w:rsid w:val="006B5CCC"/>
    <w:rsid w:val="006C2B32"/>
    <w:rsid w:val="006D4225"/>
    <w:rsid w:val="006D6B57"/>
    <w:rsid w:val="006D73B2"/>
    <w:rsid w:val="006E0ADA"/>
    <w:rsid w:val="006E6093"/>
    <w:rsid w:val="006F3056"/>
    <w:rsid w:val="006F50A4"/>
    <w:rsid w:val="006F573F"/>
    <w:rsid w:val="006F752F"/>
    <w:rsid w:val="006F7816"/>
    <w:rsid w:val="006F7963"/>
    <w:rsid w:val="00706FFB"/>
    <w:rsid w:val="00710D2A"/>
    <w:rsid w:val="00711A4B"/>
    <w:rsid w:val="00730ED4"/>
    <w:rsid w:val="007329CA"/>
    <w:rsid w:val="00745415"/>
    <w:rsid w:val="007545E9"/>
    <w:rsid w:val="00754A3C"/>
    <w:rsid w:val="007627A5"/>
    <w:rsid w:val="00770496"/>
    <w:rsid w:val="00772A01"/>
    <w:rsid w:val="00776125"/>
    <w:rsid w:val="007766D9"/>
    <w:rsid w:val="00776F87"/>
    <w:rsid w:val="007A1B4B"/>
    <w:rsid w:val="007B0053"/>
    <w:rsid w:val="007B2154"/>
    <w:rsid w:val="007B3409"/>
    <w:rsid w:val="007B733F"/>
    <w:rsid w:val="007C3F36"/>
    <w:rsid w:val="007D542A"/>
    <w:rsid w:val="007E420A"/>
    <w:rsid w:val="00801599"/>
    <w:rsid w:val="008024B7"/>
    <w:rsid w:val="0080600F"/>
    <w:rsid w:val="008118DE"/>
    <w:rsid w:val="00812103"/>
    <w:rsid w:val="00812C7A"/>
    <w:rsid w:val="00821F3F"/>
    <w:rsid w:val="008248F4"/>
    <w:rsid w:val="00827023"/>
    <w:rsid w:val="00833EE8"/>
    <w:rsid w:val="0083431C"/>
    <w:rsid w:val="00835ECC"/>
    <w:rsid w:val="00842606"/>
    <w:rsid w:val="00860112"/>
    <w:rsid w:val="0087057C"/>
    <w:rsid w:val="008711D1"/>
    <w:rsid w:val="008749C7"/>
    <w:rsid w:val="008762E2"/>
    <w:rsid w:val="0088215D"/>
    <w:rsid w:val="00884B72"/>
    <w:rsid w:val="0088527B"/>
    <w:rsid w:val="00886BC7"/>
    <w:rsid w:val="008A4D26"/>
    <w:rsid w:val="008C779B"/>
    <w:rsid w:val="008D5255"/>
    <w:rsid w:val="008D698A"/>
    <w:rsid w:val="008E1BD6"/>
    <w:rsid w:val="008E549C"/>
    <w:rsid w:val="008E6057"/>
    <w:rsid w:val="008F3D63"/>
    <w:rsid w:val="00907375"/>
    <w:rsid w:val="00910857"/>
    <w:rsid w:val="0092106A"/>
    <w:rsid w:val="0092129A"/>
    <w:rsid w:val="0092302A"/>
    <w:rsid w:val="00931F1C"/>
    <w:rsid w:val="009328F0"/>
    <w:rsid w:val="0094163E"/>
    <w:rsid w:val="00943B88"/>
    <w:rsid w:val="00946792"/>
    <w:rsid w:val="0094707F"/>
    <w:rsid w:val="00951FCC"/>
    <w:rsid w:val="00960E0B"/>
    <w:rsid w:val="00966919"/>
    <w:rsid w:val="00967C81"/>
    <w:rsid w:val="00971ECC"/>
    <w:rsid w:val="0098202D"/>
    <w:rsid w:val="00984CEC"/>
    <w:rsid w:val="0099313C"/>
    <w:rsid w:val="00993BB0"/>
    <w:rsid w:val="009977B3"/>
    <w:rsid w:val="009A2381"/>
    <w:rsid w:val="009A2F5A"/>
    <w:rsid w:val="009B3C37"/>
    <w:rsid w:val="009C29E0"/>
    <w:rsid w:val="009C2B84"/>
    <w:rsid w:val="009C61F9"/>
    <w:rsid w:val="009D74E2"/>
    <w:rsid w:val="009F0063"/>
    <w:rsid w:val="009F56E6"/>
    <w:rsid w:val="00A0228A"/>
    <w:rsid w:val="00A064D1"/>
    <w:rsid w:val="00A06E0F"/>
    <w:rsid w:val="00A2055C"/>
    <w:rsid w:val="00A22F3C"/>
    <w:rsid w:val="00A30CA9"/>
    <w:rsid w:val="00A400A4"/>
    <w:rsid w:val="00A533B9"/>
    <w:rsid w:val="00A63976"/>
    <w:rsid w:val="00A6475F"/>
    <w:rsid w:val="00A76D23"/>
    <w:rsid w:val="00A82008"/>
    <w:rsid w:val="00A95072"/>
    <w:rsid w:val="00A95785"/>
    <w:rsid w:val="00A9600F"/>
    <w:rsid w:val="00A96267"/>
    <w:rsid w:val="00AA3C71"/>
    <w:rsid w:val="00AA52F1"/>
    <w:rsid w:val="00AA5399"/>
    <w:rsid w:val="00AA5824"/>
    <w:rsid w:val="00AC46FB"/>
    <w:rsid w:val="00AC7D4C"/>
    <w:rsid w:val="00AD082C"/>
    <w:rsid w:val="00AE1B6A"/>
    <w:rsid w:val="00AE22CA"/>
    <w:rsid w:val="00AE47B0"/>
    <w:rsid w:val="00AF3B84"/>
    <w:rsid w:val="00AF4E5D"/>
    <w:rsid w:val="00AF6CC2"/>
    <w:rsid w:val="00AF6FAD"/>
    <w:rsid w:val="00B06661"/>
    <w:rsid w:val="00B17392"/>
    <w:rsid w:val="00B23C40"/>
    <w:rsid w:val="00B24BC9"/>
    <w:rsid w:val="00B378E4"/>
    <w:rsid w:val="00B45C46"/>
    <w:rsid w:val="00B45FEA"/>
    <w:rsid w:val="00B62065"/>
    <w:rsid w:val="00B64FE4"/>
    <w:rsid w:val="00B71D6A"/>
    <w:rsid w:val="00B734AC"/>
    <w:rsid w:val="00B97C4B"/>
    <w:rsid w:val="00BB2A49"/>
    <w:rsid w:val="00BC3CC4"/>
    <w:rsid w:val="00BD47A4"/>
    <w:rsid w:val="00BD4CE7"/>
    <w:rsid w:val="00BD7F5E"/>
    <w:rsid w:val="00BE6AE5"/>
    <w:rsid w:val="00BF4711"/>
    <w:rsid w:val="00C002D5"/>
    <w:rsid w:val="00C03AE5"/>
    <w:rsid w:val="00C11D9C"/>
    <w:rsid w:val="00C1330B"/>
    <w:rsid w:val="00C40443"/>
    <w:rsid w:val="00C40952"/>
    <w:rsid w:val="00C455A7"/>
    <w:rsid w:val="00C5551A"/>
    <w:rsid w:val="00C573E5"/>
    <w:rsid w:val="00C64A31"/>
    <w:rsid w:val="00C7109D"/>
    <w:rsid w:val="00C714C4"/>
    <w:rsid w:val="00C75950"/>
    <w:rsid w:val="00C842A5"/>
    <w:rsid w:val="00C85242"/>
    <w:rsid w:val="00C95FD3"/>
    <w:rsid w:val="00CA65FD"/>
    <w:rsid w:val="00CB18C1"/>
    <w:rsid w:val="00CC3CD9"/>
    <w:rsid w:val="00CC569C"/>
    <w:rsid w:val="00CD047D"/>
    <w:rsid w:val="00CD480F"/>
    <w:rsid w:val="00CE6D3F"/>
    <w:rsid w:val="00CF0B5F"/>
    <w:rsid w:val="00CF2C72"/>
    <w:rsid w:val="00D07016"/>
    <w:rsid w:val="00D1792F"/>
    <w:rsid w:val="00D209A8"/>
    <w:rsid w:val="00D26142"/>
    <w:rsid w:val="00D311AD"/>
    <w:rsid w:val="00D36CB5"/>
    <w:rsid w:val="00D45F79"/>
    <w:rsid w:val="00D46B30"/>
    <w:rsid w:val="00D524C1"/>
    <w:rsid w:val="00D56113"/>
    <w:rsid w:val="00D620EC"/>
    <w:rsid w:val="00D70F04"/>
    <w:rsid w:val="00D753F7"/>
    <w:rsid w:val="00D77CA8"/>
    <w:rsid w:val="00D86A78"/>
    <w:rsid w:val="00DB6C07"/>
    <w:rsid w:val="00DC7737"/>
    <w:rsid w:val="00DE42DD"/>
    <w:rsid w:val="00DE7941"/>
    <w:rsid w:val="00DF13F3"/>
    <w:rsid w:val="00DF4C6C"/>
    <w:rsid w:val="00DF7A1D"/>
    <w:rsid w:val="00E062A1"/>
    <w:rsid w:val="00E1566C"/>
    <w:rsid w:val="00E23711"/>
    <w:rsid w:val="00E360EA"/>
    <w:rsid w:val="00E401CF"/>
    <w:rsid w:val="00E40F7C"/>
    <w:rsid w:val="00E41F14"/>
    <w:rsid w:val="00E424BC"/>
    <w:rsid w:val="00E50569"/>
    <w:rsid w:val="00E5384E"/>
    <w:rsid w:val="00E55317"/>
    <w:rsid w:val="00E56DBA"/>
    <w:rsid w:val="00E61024"/>
    <w:rsid w:val="00E6564D"/>
    <w:rsid w:val="00E75298"/>
    <w:rsid w:val="00E80AE2"/>
    <w:rsid w:val="00E84EED"/>
    <w:rsid w:val="00E93D1C"/>
    <w:rsid w:val="00E95EFD"/>
    <w:rsid w:val="00EA7852"/>
    <w:rsid w:val="00EC1230"/>
    <w:rsid w:val="00EC32A8"/>
    <w:rsid w:val="00EC6E01"/>
    <w:rsid w:val="00EE25C9"/>
    <w:rsid w:val="00EE726E"/>
    <w:rsid w:val="00F03082"/>
    <w:rsid w:val="00F03A5E"/>
    <w:rsid w:val="00F225A5"/>
    <w:rsid w:val="00F22934"/>
    <w:rsid w:val="00F25EC8"/>
    <w:rsid w:val="00F26941"/>
    <w:rsid w:val="00F4444E"/>
    <w:rsid w:val="00F5628F"/>
    <w:rsid w:val="00F56342"/>
    <w:rsid w:val="00F62B24"/>
    <w:rsid w:val="00F70752"/>
    <w:rsid w:val="00F71132"/>
    <w:rsid w:val="00F758B8"/>
    <w:rsid w:val="00F77639"/>
    <w:rsid w:val="00F821DB"/>
    <w:rsid w:val="00F863F1"/>
    <w:rsid w:val="00F91B84"/>
    <w:rsid w:val="00F94697"/>
    <w:rsid w:val="00F977F6"/>
    <w:rsid w:val="00FA091F"/>
    <w:rsid w:val="00FA0C53"/>
    <w:rsid w:val="00FA3915"/>
    <w:rsid w:val="00FB14CA"/>
    <w:rsid w:val="00FB7F17"/>
    <w:rsid w:val="00FC0AE6"/>
    <w:rsid w:val="00FD1298"/>
    <w:rsid w:val="00FD304E"/>
    <w:rsid w:val="00FF5BF6"/>
    <w:rsid w:val="00FF5D94"/>
    <w:rsid w:val="00FF68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A42F3"/>
  <w15:docId w15:val="{FFA7DEBF-6F42-4AAE-B17E-1A70DEC5C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w:eastAsiaTheme="minorHAnsi" w:hAnsi="Gill Sans MT"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665E49"/>
    <w:pPr>
      <w:keepNext/>
      <w:keepLines/>
      <w:spacing w:before="480" w:after="0"/>
      <w:outlineLvl w:val="0"/>
    </w:pPr>
    <w:rPr>
      <w:rFonts w:eastAsiaTheme="majorEastAsia" w:cstheme="majorBidi"/>
      <w:b/>
      <w:bCs/>
      <w:sz w:val="40"/>
      <w:szCs w:val="28"/>
    </w:rPr>
  </w:style>
  <w:style w:type="paragraph" w:styleId="Heading2">
    <w:name w:val="heading 2"/>
    <w:basedOn w:val="Normal"/>
    <w:next w:val="Normal"/>
    <w:link w:val="Heading2Char"/>
    <w:autoRedefine/>
    <w:uiPriority w:val="9"/>
    <w:unhideWhenUsed/>
    <w:qFormat/>
    <w:rsid w:val="00442E50"/>
    <w:pPr>
      <w:keepNext/>
      <w:keepLines/>
      <w:spacing w:before="200" w:after="0"/>
      <w:outlineLvl w:val="1"/>
    </w:pPr>
    <w:rPr>
      <w:rFonts w:eastAsiaTheme="majorEastAsia" w:cstheme="majorBidi"/>
      <w:b/>
      <w:bCs/>
      <w:sz w:val="32"/>
      <w:szCs w:val="26"/>
    </w:rPr>
  </w:style>
  <w:style w:type="paragraph" w:styleId="Heading3">
    <w:name w:val="heading 3"/>
    <w:basedOn w:val="Normal"/>
    <w:next w:val="Normal"/>
    <w:link w:val="Heading3Char"/>
    <w:autoRedefine/>
    <w:uiPriority w:val="9"/>
    <w:semiHidden/>
    <w:unhideWhenUsed/>
    <w:qFormat/>
    <w:rsid w:val="00442E50"/>
    <w:pPr>
      <w:keepNext/>
      <w:keepLines/>
      <w:spacing w:before="200" w:after="0"/>
      <w:outlineLvl w:val="2"/>
    </w:pPr>
    <w:rPr>
      <w:rFonts w:eastAsiaTheme="majorEastAsia" w:cstheme="majorBid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5E49"/>
    <w:rPr>
      <w:rFonts w:eastAsiaTheme="majorEastAsia" w:cstheme="majorBidi"/>
      <w:b/>
      <w:bCs/>
      <w:sz w:val="40"/>
      <w:szCs w:val="28"/>
    </w:rPr>
  </w:style>
  <w:style w:type="character" w:customStyle="1" w:styleId="Heading2Char">
    <w:name w:val="Heading 2 Char"/>
    <w:basedOn w:val="DefaultParagraphFont"/>
    <w:link w:val="Heading2"/>
    <w:uiPriority w:val="9"/>
    <w:rsid w:val="00442E50"/>
    <w:rPr>
      <w:rFonts w:eastAsiaTheme="majorEastAsia" w:cstheme="majorBidi"/>
      <w:b/>
      <w:bCs/>
      <w:sz w:val="32"/>
      <w:szCs w:val="26"/>
    </w:rPr>
  </w:style>
  <w:style w:type="character" w:customStyle="1" w:styleId="Heading3Char">
    <w:name w:val="Heading 3 Char"/>
    <w:basedOn w:val="DefaultParagraphFont"/>
    <w:link w:val="Heading3"/>
    <w:uiPriority w:val="9"/>
    <w:semiHidden/>
    <w:rsid w:val="00442E50"/>
    <w:rPr>
      <w:rFonts w:eastAsiaTheme="majorEastAsia" w:cstheme="majorBidi"/>
      <w:b/>
      <w:bCs/>
      <w:sz w:val="28"/>
    </w:rPr>
  </w:style>
  <w:style w:type="paragraph" w:styleId="Header">
    <w:name w:val="header"/>
    <w:basedOn w:val="Normal"/>
    <w:link w:val="HeaderChar"/>
    <w:uiPriority w:val="99"/>
    <w:unhideWhenUsed/>
    <w:rsid w:val="00772A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A01"/>
  </w:style>
  <w:style w:type="paragraph" w:styleId="Footer">
    <w:name w:val="footer"/>
    <w:basedOn w:val="Normal"/>
    <w:link w:val="FooterChar"/>
    <w:uiPriority w:val="99"/>
    <w:unhideWhenUsed/>
    <w:rsid w:val="00772A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2A01"/>
  </w:style>
  <w:style w:type="table" w:styleId="TableGrid">
    <w:name w:val="Table Grid"/>
    <w:basedOn w:val="TableNormal"/>
    <w:uiPriority w:val="59"/>
    <w:rsid w:val="00772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25E2"/>
    <w:pPr>
      <w:ind w:left="720"/>
      <w:contextualSpacing/>
    </w:pPr>
  </w:style>
  <w:style w:type="character" w:styleId="Hyperlink">
    <w:name w:val="Hyperlink"/>
    <w:basedOn w:val="DefaultParagraphFont"/>
    <w:uiPriority w:val="99"/>
    <w:unhideWhenUsed/>
    <w:rsid w:val="000C0411"/>
    <w:rPr>
      <w:color w:val="0000FF" w:themeColor="hyperlink"/>
      <w:u w:val="single"/>
    </w:rPr>
  </w:style>
  <w:style w:type="character" w:styleId="CommentReference">
    <w:name w:val="annotation reference"/>
    <w:basedOn w:val="DefaultParagraphFont"/>
    <w:uiPriority w:val="99"/>
    <w:semiHidden/>
    <w:unhideWhenUsed/>
    <w:rsid w:val="006C2B32"/>
    <w:rPr>
      <w:sz w:val="16"/>
      <w:szCs w:val="16"/>
    </w:rPr>
  </w:style>
  <w:style w:type="paragraph" w:styleId="CommentText">
    <w:name w:val="annotation text"/>
    <w:basedOn w:val="Normal"/>
    <w:link w:val="CommentTextChar"/>
    <w:uiPriority w:val="99"/>
    <w:unhideWhenUsed/>
    <w:rsid w:val="006C2B32"/>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6C2B32"/>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6C2B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B32"/>
    <w:rPr>
      <w:rFonts w:ascii="Tahoma" w:hAnsi="Tahoma" w:cs="Tahoma"/>
      <w:sz w:val="16"/>
      <w:szCs w:val="16"/>
    </w:rPr>
  </w:style>
  <w:style w:type="paragraph" w:styleId="NormalWeb">
    <w:name w:val="Normal (Web)"/>
    <w:basedOn w:val="Normal"/>
    <w:uiPriority w:val="99"/>
    <w:semiHidden/>
    <w:unhideWhenUsed/>
    <w:rsid w:val="000D15C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160DE0"/>
    <w:pPr>
      <w:spacing w:after="200"/>
    </w:pPr>
    <w:rPr>
      <w:rFonts w:ascii="Gill Sans MT" w:eastAsiaTheme="minorHAnsi" w:hAnsi="Gill Sans MT" w:cstheme="minorBidi"/>
      <w:b/>
      <w:bCs/>
      <w:lang w:val="en-AU"/>
    </w:rPr>
  </w:style>
  <w:style w:type="character" w:customStyle="1" w:styleId="CommentSubjectChar">
    <w:name w:val="Comment Subject Char"/>
    <w:basedOn w:val="CommentTextChar"/>
    <w:link w:val="CommentSubject"/>
    <w:uiPriority w:val="99"/>
    <w:semiHidden/>
    <w:rsid w:val="00160DE0"/>
    <w:rPr>
      <w:rFonts w:ascii="Times New Roman" w:eastAsia="Times New Roman" w:hAnsi="Times New Roman" w:cs="Times New Roman"/>
      <w:b/>
      <w:bCs/>
      <w:sz w:val="20"/>
      <w:szCs w:val="20"/>
      <w:lang w:val="en-US"/>
    </w:rPr>
  </w:style>
  <w:style w:type="paragraph" w:styleId="Revision">
    <w:name w:val="Revision"/>
    <w:hidden/>
    <w:uiPriority w:val="99"/>
    <w:semiHidden/>
    <w:rsid w:val="00AC46FB"/>
    <w:pPr>
      <w:spacing w:after="0" w:line="240" w:lineRule="auto"/>
    </w:pPr>
  </w:style>
  <w:style w:type="paragraph" w:styleId="BodyTextIndent2">
    <w:name w:val="Body Text Indent 2"/>
    <w:basedOn w:val="Normal"/>
    <w:link w:val="BodyTextIndent2Char"/>
    <w:semiHidden/>
    <w:unhideWhenUsed/>
    <w:rsid w:val="00663910"/>
    <w:pPr>
      <w:spacing w:after="0" w:line="240" w:lineRule="auto"/>
      <w:ind w:left="36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semiHidden/>
    <w:rsid w:val="00663910"/>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B173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68827">
      <w:bodyDiv w:val="1"/>
      <w:marLeft w:val="0"/>
      <w:marRight w:val="0"/>
      <w:marTop w:val="0"/>
      <w:marBottom w:val="0"/>
      <w:divBdr>
        <w:top w:val="none" w:sz="0" w:space="0" w:color="auto"/>
        <w:left w:val="none" w:sz="0" w:space="0" w:color="auto"/>
        <w:bottom w:val="none" w:sz="0" w:space="0" w:color="auto"/>
        <w:right w:val="none" w:sz="0" w:space="0" w:color="auto"/>
      </w:divBdr>
    </w:div>
    <w:div w:id="284508515">
      <w:bodyDiv w:val="1"/>
      <w:marLeft w:val="0"/>
      <w:marRight w:val="0"/>
      <w:marTop w:val="0"/>
      <w:marBottom w:val="0"/>
      <w:divBdr>
        <w:top w:val="none" w:sz="0" w:space="0" w:color="auto"/>
        <w:left w:val="none" w:sz="0" w:space="0" w:color="auto"/>
        <w:bottom w:val="none" w:sz="0" w:space="0" w:color="auto"/>
        <w:right w:val="none" w:sz="0" w:space="0" w:color="auto"/>
      </w:divBdr>
    </w:div>
    <w:div w:id="652805069">
      <w:bodyDiv w:val="1"/>
      <w:marLeft w:val="0"/>
      <w:marRight w:val="0"/>
      <w:marTop w:val="0"/>
      <w:marBottom w:val="0"/>
      <w:divBdr>
        <w:top w:val="none" w:sz="0" w:space="0" w:color="auto"/>
        <w:left w:val="none" w:sz="0" w:space="0" w:color="auto"/>
        <w:bottom w:val="none" w:sz="0" w:space="0" w:color="auto"/>
        <w:right w:val="none" w:sz="0" w:space="0" w:color="auto"/>
      </w:divBdr>
    </w:div>
    <w:div w:id="853768713">
      <w:bodyDiv w:val="1"/>
      <w:marLeft w:val="0"/>
      <w:marRight w:val="0"/>
      <w:marTop w:val="0"/>
      <w:marBottom w:val="0"/>
      <w:divBdr>
        <w:top w:val="none" w:sz="0" w:space="0" w:color="auto"/>
        <w:left w:val="none" w:sz="0" w:space="0" w:color="auto"/>
        <w:bottom w:val="none" w:sz="0" w:space="0" w:color="auto"/>
        <w:right w:val="none" w:sz="0" w:space="0" w:color="auto"/>
      </w:divBdr>
    </w:div>
    <w:div w:id="870921057">
      <w:bodyDiv w:val="1"/>
      <w:marLeft w:val="0"/>
      <w:marRight w:val="0"/>
      <w:marTop w:val="0"/>
      <w:marBottom w:val="0"/>
      <w:divBdr>
        <w:top w:val="none" w:sz="0" w:space="0" w:color="auto"/>
        <w:left w:val="none" w:sz="0" w:space="0" w:color="auto"/>
        <w:bottom w:val="none" w:sz="0" w:space="0" w:color="auto"/>
        <w:right w:val="none" w:sz="0" w:space="0" w:color="auto"/>
      </w:divBdr>
    </w:div>
    <w:div w:id="919370647">
      <w:bodyDiv w:val="1"/>
      <w:marLeft w:val="0"/>
      <w:marRight w:val="0"/>
      <w:marTop w:val="0"/>
      <w:marBottom w:val="0"/>
      <w:divBdr>
        <w:top w:val="none" w:sz="0" w:space="0" w:color="auto"/>
        <w:left w:val="none" w:sz="0" w:space="0" w:color="auto"/>
        <w:bottom w:val="none" w:sz="0" w:space="0" w:color="auto"/>
        <w:right w:val="none" w:sz="0" w:space="0" w:color="auto"/>
      </w:divBdr>
    </w:div>
    <w:div w:id="979269976">
      <w:bodyDiv w:val="1"/>
      <w:marLeft w:val="0"/>
      <w:marRight w:val="0"/>
      <w:marTop w:val="0"/>
      <w:marBottom w:val="0"/>
      <w:divBdr>
        <w:top w:val="none" w:sz="0" w:space="0" w:color="auto"/>
        <w:left w:val="none" w:sz="0" w:space="0" w:color="auto"/>
        <w:bottom w:val="none" w:sz="0" w:space="0" w:color="auto"/>
        <w:right w:val="none" w:sz="0" w:space="0" w:color="auto"/>
      </w:divBdr>
    </w:div>
    <w:div w:id="1694188275">
      <w:bodyDiv w:val="1"/>
      <w:marLeft w:val="0"/>
      <w:marRight w:val="0"/>
      <w:marTop w:val="0"/>
      <w:marBottom w:val="0"/>
      <w:divBdr>
        <w:top w:val="none" w:sz="0" w:space="0" w:color="auto"/>
        <w:left w:val="none" w:sz="0" w:space="0" w:color="auto"/>
        <w:bottom w:val="none" w:sz="0" w:space="0" w:color="auto"/>
        <w:right w:val="none" w:sz="0" w:space="0" w:color="auto"/>
      </w:divBdr>
    </w:div>
    <w:div w:id="1708919004">
      <w:bodyDiv w:val="1"/>
      <w:marLeft w:val="0"/>
      <w:marRight w:val="0"/>
      <w:marTop w:val="0"/>
      <w:marBottom w:val="0"/>
      <w:divBdr>
        <w:top w:val="none" w:sz="0" w:space="0" w:color="auto"/>
        <w:left w:val="none" w:sz="0" w:space="0" w:color="auto"/>
        <w:bottom w:val="none" w:sz="0" w:space="0" w:color="auto"/>
        <w:right w:val="none" w:sz="0" w:space="0" w:color="auto"/>
      </w:divBdr>
    </w:div>
    <w:div w:id="205503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rkplace.relations@decyp.tas.gov.au" TargetMode="External"/><Relationship Id="rId3" Type="http://schemas.openxmlformats.org/officeDocument/2006/relationships/settings" Target="settings.xml"/><Relationship Id="rId7" Type="http://schemas.openxmlformats.org/officeDocument/2006/relationships/hyperlink" Target="mailto:workplace.relations@decyp.tas.gov.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1558</Words>
  <Characters>8886</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change proposal</vt:lpstr>
    </vt:vector>
  </TitlesOfParts>
  <Company>DHHS</Company>
  <LinksUpToDate>false</LinksUpToDate>
  <CharactersWithSpaces>10424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proposal</dc:title>
  <dc:creator>Davidson, Sarah</dc:creator>
  <cp:lastModifiedBy>Watson, Mark</cp:lastModifiedBy>
  <cp:revision>2</cp:revision>
  <cp:lastPrinted>2023-05-18T06:13:00Z</cp:lastPrinted>
  <dcterms:created xsi:type="dcterms:W3CDTF">2023-06-01T23:31:00Z</dcterms:created>
  <dcterms:modified xsi:type="dcterms:W3CDTF">2023-06-01T23:31:00Z</dcterms:modified>
  <cp:category>change management</cp:category>
</cp:coreProperties>
</file>